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6E1EF9" w:rsidP="004A6D2F">
            <w:pPr>
              <w:rPr>
                <w:rStyle w:val="Firstpagetablebold"/>
              </w:rPr>
            </w:pPr>
            <w:r>
              <w:rPr>
                <w:b/>
                <w:bCs/>
              </w:rPr>
              <w:t>Standards Committee</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593F97" w:rsidP="005D0621">
            <w:pPr>
              <w:rPr>
                <w:b/>
              </w:rPr>
            </w:pPr>
            <w:r w:rsidRPr="00593F97">
              <w:rPr>
                <w:b/>
                <w:color w:val="auto"/>
              </w:rPr>
              <w:t>11</w:t>
            </w:r>
            <w:r w:rsidR="0084513E">
              <w:rPr>
                <w:b/>
              </w:rPr>
              <w:t xml:space="preserve"> </w:t>
            </w:r>
            <w:r w:rsidR="00DC091B">
              <w:rPr>
                <w:b/>
              </w:rPr>
              <w:t>September 2018</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DC091B" w:rsidP="00625392">
            <w:pPr>
              <w:rPr>
                <w:rStyle w:val="Firstpagetablebold"/>
              </w:rPr>
            </w:pPr>
            <w:r>
              <w:rPr>
                <w:b/>
                <w:bCs/>
              </w:rPr>
              <w:t xml:space="preserve">Monitoring Officer </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2D1E8A" w:rsidP="00627829">
            <w:pPr>
              <w:spacing w:after="0"/>
              <w:rPr>
                <w:rStyle w:val="Firstpagetablebold"/>
              </w:rPr>
            </w:pPr>
            <w:r w:rsidRPr="002D1E8A">
              <w:rPr>
                <w:rStyle w:val="Firstpagetablebold"/>
              </w:rPr>
              <w:t>Member</w:t>
            </w:r>
            <w:r w:rsidR="00627829">
              <w:rPr>
                <w:rStyle w:val="Firstpagetablebold"/>
              </w:rPr>
              <w:t>s’</w:t>
            </w:r>
            <w:r w:rsidRPr="002D1E8A">
              <w:rPr>
                <w:rStyle w:val="Firstpagetablebold"/>
              </w:rPr>
              <w:t xml:space="preserve"> Code of Conduct: Standards report</w:t>
            </w:r>
          </w:p>
        </w:tc>
      </w:tr>
    </w:tbl>
    <w:p w:rsidR="004F20EF" w:rsidRDefault="004F20EF" w:rsidP="004A6D2F">
      <w:bookmarkStart w:id="0" w:name="_GoBack"/>
      <w:bookmarkEnd w:id="0"/>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D5547E" w:rsidTr="0080749A">
        <w:tc>
          <w:tcPr>
            <w:tcW w:w="8845" w:type="dxa"/>
            <w:gridSpan w:val="2"/>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5B4F91" w:rsidRDefault="002D1E8A" w:rsidP="00B90E90">
            <w:pPr>
              <w:rPr>
                <w:b/>
              </w:rPr>
            </w:pPr>
            <w:r>
              <w:rPr>
                <w:b/>
              </w:rPr>
              <w:t>T</w:t>
            </w:r>
            <w:r w:rsidRPr="002D1E8A">
              <w:rPr>
                <w:b/>
              </w:rPr>
              <w:t>o advise the Committee of the number of complaints received under the Member</w:t>
            </w:r>
            <w:r w:rsidR="00627829">
              <w:rPr>
                <w:b/>
              </w:rPr>
              <w:t>s’</w:t>
            </w:r>
            <w:r w:rsidRPr="002D1E8A">
              <w:rPr>
                <w:b/>
              </w:rPr>
              <w:t xml:space="preserve"> Code of Conduct </w:t>
            </w:r>
            <w:r w:rsidR="00B90E90">
              <w:rPr>
                <w:b/>
              </w:rPr>
              <w:t xml:space="preserve">from 1 November 2017 until 31 August 2018 </w:t>
            </w:r>
            <w:r w:rsidRPr="002D1E8A">
              <w:rPr>
                <w:b/>
              </w:rPr>
              <w:t xml:space="preserve">which have or are to be considered by the </w:t>
            </w:r>
            <w:r>
              <w:rPr>
                <w:b/>
              </w:rPr>
              <w:t>Head of Law and Governance</w:t>
            </w:r>
            <w:r w:rsidRPr="002D1E8A">
              <w:rPr>
                <w:b/>
              </w:rPr>
              <w:t xml:space="preserve"> (in h</w:t>
            </w:r>
            <w:r>
              <w:rPr>
                <w:b/>
              </w:rPr>
              <w:t>er</w:t>
            </w:r>
            <w:r w:rsidRPr="002D1E8A">
              <w:rPr>
                <w:b/>
              </w:rPr>
              <w:t xml:space="preserve"> statutory capacity as the authority’s Monitoring Officer) and the Independent Person</w:t>
            </w:r>
            <w:r>
              <w:rPr>
                <w:b/>
              </w:rPr>
              <w:t>s</w:t>
            </w:r>
            <w:r w:rsidRPr="002D1E8A">
              <w:rPr>
                <w:b/>
              </w:rPr>
              <w:t>. The report also notes the outcome, where complaints have been concluded.</w:t>
            </w:r>
          </w:p>
        </w:tc>
      </w:tr>
      <w:tr w:rsidR="00D5547E" w:rsidTr="0080749A">
        <w:tc>
          <w:tcPr>
            <w:tcW w:w="2438" w:type="dxa"/>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6E1EF9" w:rsidP="005F7F7E">
            <w:r>
              <w:t>No</w:t>
            </w:r>
          </w:p>
        </w:tc>
      </w:tr>
      <w:tr w:rsidR="005F7F7E" w:rsidRPr="00975B07" w:rsidTr="004521FD">
        <w:trPr>
          <w:trHeight w:val="413"/>
        </w:trPr>
        <w:tc>
          <w:tcPr>
            <w:tcW w:w="8845" w:type="dxa"/>
            <w:gridSpan w:val="2"/>
            <w:tcBorders>
              <w:bottom w:val="single" w:sz="8" w:space="0" w:color="000000"/>
            </w:tcBorders>
          </w:tcPr>
          <w:p w:rsidR="004E3B9B" w:rsidRDefault="006E1EF9" w:rsidP="004E3B9B">
            <w:pPr>
              <w:rPr>
                <w:rStyle w:val="Firstpagetablebold"/>
              </w:rPr>
            </w:pPr>
            <w:r>
              <w:rPr>
                <w:rStyle w:val="Firstpagetablebold"/>
              </w:rPr>
              <w:t>Recommendation</w:t>
            </w:r>
            <w:r w:rsidR="005F7F7E">
              <w:rPr>
                <w:rStyle w:val="Firstpagetablebold"/>
              </w:rPr>
              <w:t>:</w:t>
            </w:r>
            <w:r>
              <w:rPr>
                <w:rStyle w:val="Firstpagetablebold"/>
              </w:rPr>
              <w:t xml:space="preserve"> </w:t>
            </w:r>
          </w:p>
          <w:p w:rsidR="0084513E" w:rsidRPr="000E53F5" w:rsidRDefault="005F7F7E" w:rsidP="00355F8D">
            <w:pPr>
              <w:rPr>
                <w:b/>
                <w:i/>
                <w:color w:val="FF0000"/>
              </w:rPr>
            </w:pPr>
            <w:r w:rsidRPr="000E53F5">
              <w:rPr>
                <w:rStyle w:val="Firstpagetablebold"/>
                <w:color w:val="auto"/>
              </w:rPr>
              <w:t xml:space="preserve">That the </w:t>
            </w:r>
            <w:r w:rsidR="00DC091B" w:rsidRPr="000E53F5">
              <w:rPr>
                <w:rStyle w:val="Firstpagetablebold"/>
                <w:color w:val="auto"/>
              </w:rPr>
              <w:t xml:space="preserve">Standards </w:t>
            </w:r>
            <w:r w:rsidR="006E1EF9" w:rsidRPr="000E53F5">
              <w:rPr>
                <w:rStyle w:val="Firstpagetablebold"/>
                <w:color w:val="auto"/>
              </w:rPr>
              <w:t xml:space="preserve">Committee </w:t>
            </w:r>
            <w:r w:rsidR="00355F8D">
              <w:rPr>
                <w:rStyle w:val="Firstpagetablebold"/>
                <w:color w:val="auto"/>
              </w:rPr>
              <w:t>notes the content of the report.</w:t>
            </w:r>
          </w:p>
        </w:tc>
      </w:tr>
    </w:tbl>
    <w:p w:rsidR="00CE544A" w:rsidRPr="009E51FC" w:rsidRDefault="00CE544A" w:rsidP="004A6D2F"/>
    <w:p w:rsidR="0040736F" w:rsidRPr="004521FD" w:rsidRDefault="00F66DCA" w:rsidP="004A6D2F">
      <w:pPr>
        <w:pStyle w:val="Heading1"/>
        <w:rPr>
          <w:color w:val="auto"/>
        </w:rPr>
      </w:pPr>
      <w:r w:rsidRPr="004521FD">
        <w:rPr>
          <w:color w:val="auto"/>
        </w:rPr>
        <w:t>Introduction and b</w:t>
      </w:r>
      <w:r w:rsidR="00151888" w:rsidRPr="004521FD">
        <w:rPr>
          <w:color w:val="auto"/>
        </w:rPr>
        <w:t>ackground</w:t>
      </w:r>
      <w:r w:rsidR="00404032" w:rsidRPr="004521FD">
        <w:rPr>
          <w:color w:val="auto"/>
        </w:rPr>
        <w:t xml:space="preserve"> </w:t>
      </w:r>
    </w:p>
    <w:p w:rsidR="009153D7" w:rsidRPr="00CF5FC2" w:rsidRDefault="00CF5FC2" w:rsidP="005A1081">
      <w:pPr>
        <w:pStyle w:val="ListParagraph"/>
        <w:numPr>
          <w:ilvl w:val="0"/>
          <w:numId w:val="6"/>
        </w:numPr>
        <w:shd w:val="clear" w:color="auto" w:fill="FFFFFF"/>
        <w:spacing w:after="0"/>
        <w:rPr>
          <w:color w:val="auto"/>
        </w:rPr>
      </w:pPr>
      <w:r w:rsidRPr="00CF5FC2">
        <w:rPr>
          <w:color w:val="auto"/>
        </w:rPr>
        <w:t xml:space="preserve">In compliance with legislation relating to the standards and conduct of elected councillors, the Council has in place complaints handling arrangements </w:t>
      </w:r>
      <w:r>
        <w:rPr>
          <w:color w:val="auto"/>
        </w:rPr>
        <w:t>to enable</w:t>
      </w:r>
      <w:r w:rsidRPr="00CF5FC2">
        <w:rPr>
          <w:color w:val="auto"/>
        </w:rPr>
        <w:t xml:space="preserve"> a</w:t>
      </w:r>
      <w:r w:rsidR="00824590">
        <w:rPr>
          <w:color w:val="auto"/>
        </w:rPr>
        <w:t>n individual</w:t>
      </w:r>
      <w:r w:rsidRPr="00CF5FC2">
        <w:rPr>
          <w:color w:val="auto"/>
        </w:rPr>
        <w:t xml:space="preserve"> </w:t>
      </w:r>
      <w:r>
        <w:rPr>
          <w:color w:val="auto"/>
        </w:rPr>
        <w:t>to</w:t>
      </w:r>
      <w:r w:rsidRPr="00CF5FC2">
        <w:rPr>
          <w:color w:val="auto"/>
        </w:rPr>
        <w:t xml:space="preserve"> make a formal complaint that an elected or co-opted member of th</w:t>
      </w:r>
      <w:r>
        <w:rPr>
          <w:color w:val="auto"/>
        </w:rPr>
        <w:t>e City</w:t>
      </w:r>
      <w:r w:rsidRPr="00CF5FC2">
        <w:rPr>
          <w:color w:val="auto"/>
        </w:rPr>
        <w:t xml:space="preserve"> Council, or of a Parish Council within </w:t>
      </w:r>
      <w:r w:rsidR="005E0B78">
        <w:rPr>
          <w:color w:val="auto"/>
        </w:rPr>
        <w:t xml:space="preserve">the City Council’s </w:t>
      </w:r>
      <w:r w:rsidRPr="00CF5FC2">
        <w:rPr>
          <w:color w:val="auto"/>
        </w:rPr>
        <w:t>area, has failed to comply with the authority’s Members’ Code of Conduct.</w:t>
      </w:r>
    </w:p>
    <w:p w:rsidR="00376BF2" w:rsidRPr="002D1E8A" w:rsidRDefault="00376BF2" w:rsidP="00376BF2">
      <w:pPr>
        <w:spacing w:after="0"/>
        <w:rPr>
          <w:color w:val="00B050"/>
        </w:rPr>
      </w:pPr>
    </w:p>
    <w:p w:rsidR="00824590" w:rsidRPr="00081E7A" w:rsidRDefault="00824590" w:rsidP="00F35B93">
      <w:pPr>
        <w:pStyle w:val="ListParagraph"/>
        <w:numPr>
          <w:ilvl w:val="0"/>
          <w:numId w:val="6"/>
        </w:numPr>
        <w:ind w:left="357" w:hanging="357"/>
        <w:rPr>
          <w:color w:val="auto"/>
        </w:rPr>
      </w:pPr>
      <w:r w:rsidRPr="00081E7A">
        <w:rPr>
          <w:color w:val="auto"/>
        </w:rPr>
        <w:t xml:space="preserve">In summary there are two stages to the complaints </w:t>
      </w:r>
      <w:r w:rsidR="00F35B93" w:rsidRPr="00081E7A">
        <w:rPr>
          <w:color w:val="auto"/>
        </w:rPr>
        <w:t>handling arrangements</w:t>
      </w:r>
      <w:r w:rsidRPr="00081E7A">
        <w:rPr>
          <w:color w:val="auto"/>
        </w:rPr>
        <w:t>:</w:t>
      </w:r>
    </w:p>
    <w:p w:rsidR="00F35B93" w:rsidRPr="00081E7A" w:rsidRDefault="00F35B93" w:rsidP="00F35B93">
      <w:pPr>
        <w:pStyle w:val="ListParagraph"/>
        <w:numPr>
          <w:ilvl w:val="1"/>
          <w:numId w:val="6"/>
        </w:numPr>
        <w:tabs>
          <w:tab w:val="clear" w:pos="426"/>
        </w:tabs>
        <w:spacing w:after="0"/>
        <w:ind w:left="851" w:hanging="284"/>
        <w:rPr>
          <w:color w:val="auto"/>
        </w:rPr>
      </w:pPr>
      <w:r w:rsidRPr="00081E7A">
        <w:rPr>
          <w:color w:val="auto"/>
        </w:rPr>
        <w:t xml:space="preserve">Stage 1: </w:t>
      </w:r>
      <w:r w:rsidR="00824590" w:rsidRPr="00081E7A">
        <w:rPr>
          <w:color w:val="auto"/>
        </w:rPr>
        <w:t xml:space="preserve">The complaint will be </w:t>
      </w:r>
      <w:r w:rsidR="00B90E90">
        <w:rPr>
          <w:color w:val="auto"/>
        </w:rPr>
        <w:t>assess</w:t>
      </w:r>
      <w:r w:rsidR="00824590" w:rsidRPr="00081E7A">
        <w:rPr>
          <w:color w:val="auto"/>
        </w:rPr>
        <w:t xml:space="preserve">ed and </w:t>
      </w:r>
      <w:r w:rsidR="00B90E90">
        <w:rPr>
          <w:color w:val="auto"/>
        </w:rPr>
        <w:t xml:space="preserve">a </w:t>
      </w:r>
      <w:r w:rsidR="00824590" w:rsidRPr="00081E7A">
        <w:rPr>
          <w:color w:val="auto"/>
        </w:rPr>
        <w:t>deci</w:t>
      </w:r>
      <w:r w:rsidR="00B90E90">
        <w:rPr>
          <w:color w:val="auto"/>
        </w:rPr>
        <w:t>sion made</w:t>
      </w:r>
      <w:r w:rsidR="00824590" w:rsidRPr="00081E7A">
        <w:rPr>
          <w:color w:val="auto"/>
        </w:rPr>
        <w:t xml:space="preserve"> by the Council’s Monitoring Officer in consultation with an Independent Person</w:t>
      </w:r>
      <w:r w:rsidR="00B90E90">
        <w:rPr>
          <w:color w:val="auto"/>
        </w:rPr>
        <w:t xml:space="preserve"> as to the next steps</w:t>
      </w:r>
      <w:r w:rsidR="00824590" w:rsidRPr="00081E7A">
        <w:rPr>
          <w:color w:val="auto"/>
        </w:rPr>
        <w:t xml:space="preserve">.  </w:t>
      </w:r>
      <w:r w:rsidR="00081E7A" w:rsidRPr="00081E7A">
        <w:rPr>
          <w:color w:val="auto"/>
        </w:rPr>
        <w:t>At this stage t</w:t>
      </w:r>
      <w:r w:rsidRPr="00081E7A">
        <w:rPr>
          <w:color w:val="auto"/>
        </w:rPr>
        <w:t xml:space="preserve">he options open to the Monitoring Officer are:  </w:t>
      </w:r>
    </w:p>
    <w:p w:rsidR="00F35B93" w:rsidRPr="00081E7A" w:rsidRDefault="00F35B93" w:rsidP="00F35B93">
      <w:pPr>
        <w:pStyle w:val="ListParagraph"/>
        <w:numPr>
          <w:ilvl w:val="0"/>
          <w:numId w:val="23"/>
        </w:numPr>
        <w:spacing w:after="0"/>
        <w:rPr>
          <w:color w:val="auto"/>
        </w:rPr>
      </w:pPr>
      <w:r w:rsidRPr="00081E7A">
        <w:rPr>
          <w:color w:val="auto"/>
        </w:rPr>
        <w:t>Investigation – refer the matter for formal investigation;</w:t>
      </w:r>
    </w:p>
    <w:p w:rsidR="00F35B93" w:rsidRPr="00081E7A" w:rsidRDefault="00F35B93" w:rsidP="00F35B93">
      <w:pPr>
        <w:pStyle w:val="ListParagraph"/>
        <w:numPr>
          <w:ilvl w:val="0"/>
          <w:numId w:val="23"/>
        </w:numPr>
        <w:spacing w:after="0"/>
        <w:rPr>
          <w:color w:val="auto"/>
        </w:rPr>
      </w:pPr>
      <w:r w:rsidRPr="00081E7A">
        <w:rPr>
          <w:color w:val="auto"/>
        </w:rPr>
        <w:t>Other action - such as informal resolution</w:t>
      </w:r>
      <w:r w:rsidR="00B90E90">
        <w:rPr>
          <w:color w:val="auto"/>
        </w:rPr>
        <w:t>, acceptance of an apology</w:t>
      </w:r>
      <w:r w:rsidRPr="00081E7A">
        <w:rPr>
          <w:color w:val="auto"/>
        </w:rPr>
        <w:t xml:space="preserve"> or training; or</w:t>
      </w:r>
    </w:p>
    <w:p w:rsidR="00F35B93" w:rsidRPr="00081E7A" w:rsidRDefault="00F35B93" w:rsidP="00081E7A">
      <w:pPr>
        <w:pStyle w:val="ListParagraph"/>
        <w:numPr>
          <w:ilvl w:val="0"/>
          <w:numId w:val="23"/>
        </w:numPr>
        <w:ind w:left="1797" w:hanging="357"/>
        <w:rPr>
          <w:color w:val="auto"/>
        </w:rPr>
      </w:pPr>
      <w:r w:rsidRPr="00081E7A">
        <w:rPr>
          <w:color w:val="auto"/>
        </w:rPr>
        <w:t>No action – complaint dismissed.</w:t>
      </w:r>
    </w:p>
    <w:p w:rsidR="00F35B93" w:rsidRPr="00081E7A" w:rsidRDefault="00824590" w:rsidP="00F35B93">
      <w:pPr>
        <w:pStyle w:val="ListParagraph"/>
        <w:numPr>
          <w:ilvl w:val="1"/>
          <w:numId w:val="6"/>
        </w:numPr>
        <w:tabs>
          <w:tab w:val="clear" w:pos="426"/>
        </w:tabs>
        <w:spacing w:after="0"/>
        <w:ind w:left="851" w:hanging="284"/>
        <w:rPr>
          <w:color w:val="auto"/>
        </w:rPr>
      </w:pPr>
      <w:r w:rsidRPr="00081E7A">
        <w:rPr>
          <w:color w:val="auto"/>
        </w:rPr>
        <w:t xml:space="preserve">Stage 2:   </w:t>
      </w:r>
      <w:r w:rsidR="00B90E90">
        <w:rPr>
          <w:color w:val="auto"/>
        </w:rPr>
        <w:t>If t</w:t>
      </w:r>
      <w:r w:rsidRPr="00081E7A">
        <w:rPr>
          <w:color w:val="auto"/>
        </w:rPr>
        <w:t xml:space="preserve">he complaint </w:t>
      </w:r>
      <w:r w:rsidR="00B90E90">
        <w:rPr>
          <w:color w:val="auto"/>
        </w:rPr>
        <w:t xml:space="preserve">has </w:t>
      </w:r>
      <w:r w:rsidR="00F35B93" w:rsidRPr="00081E7A">
        <w:rPr>
          <w:color w:val="auto"/>
        </w:rPr>
        <w:t>be</w:t>
      </w:r>
      <w:r w:rsidR="00B90E90">
        <w:rPr>
          <w:color w:val="auto"/>
        </w:rPr>
        <w:t>en</w:t>
      </w:r>
      <w:r w:rsidR="00F35B93" w:rsidRPr="00081E7A">
        <w:rPr>
          <w:color w:val="auto"/>
        </w:rPr>
        <w:t xml:space="preserve"> </w:t>
      </w:r>
      <w:r w:rsidR="00081E7A" w:rsidRPr="00081E7A">
        <w:rPr>
          <w:color w:val="auto"/>
        </w:rPr>
        <w:t>referred for</w:t>
      </w:r>
      <w:r w:rsidRPr="00081E7A">
        <w:rPr>
          <w:color w:val="auto"/>
        </w:rPr>
        <w:t xml:space="preserve"> independent investigation</w:t>
      </w:r>
      <w:r w:rsidR="00F35B93" w:rsidRPr="00081E7A">
        <w:rPr>
          <w:color w:val="auto"/>
        </w:rPr>
        <w:t>.  The Monitoring Officer will consider the finding</w:t>
      </w:r>
      <w:r w:rsidR="00081E7A" w:rsidRPr="00081E7A">
        <w:rPr>
          <w:color w:val="auto"/>
        </w:rPr>
        <w:t>s</w:t>
      </w:r>
      <w:r w:rsidR="00F35B93" w:rsidRPr="00081E7A">
        <w:rPr>
          <w:color w:val="auto"/>
        </w:rPr>
        <w:t xml:space="preserve"> of the investigation and</w:t>
      </w:r>
      <w:r w:rsidR="00081E7A">
        <w:rPr>
          <w:color w:val="auto"/>
        </w:rPr>
        <w:t xml:space="preserve">, in </w:t>
      </w:r>
      <w:r w:rsidR="00081E7A">
        <w:rPr>
          <w:color w:val="auto"/>
        </w:rPr>
        <w:lastRenderedPageBreak/>
        <w:t>consultation with the Independent Person(s),</w:t>
      </w:r>
      <w:r w:rsidR="00F35B93" w:rsidRPr="00081E7A">
        <w:rPr>
          <w:color w:val="auto"/>
        </w:rPr>
        <w:t xml:space="preserve"> </w:t>
      </w:r>
      <w:r w:rsidR="00081E7A" w:rsidRPr="00081E7A">
        <w:rPr>
          <w:color w:val="auto"/>
        </w:rPr>
        <w:t>determine what action to take.  At this</w:t>
      </w:r>
      <w:r w:rsidR="00F35B93" w:rsidRPr="00081E7A">
        <w:rPr>
          <w:color w:val="auto"/>
        </w:rPr>
        <w:t xml:space="preserve"> stage the options open to the Monitoring Officer are:  </w:t>
      </w:r>
    </w:p>
    <w:p w:rsidR="00F35B93" w:rsidRPr="00081E7A" w:rsidRDefault="00F35B93" w:rsidP="00F35B93">
      <w:pPr>
        <w:pStyle w:val="ListParagraph"/>
        <w:numPr>
          <w:ilvl w:val="0"/>
          <w:numId w:val="23"/>
        </w:numPr>
        <w:spacing w:after="0"/>
        <w:rPr>
          <w:color w:val="auto"/>
        </w:rPr>
      </w:pPr>
      <w:r w:rsidRPr="00081E7A">
        <w:rPr>
          <w:color w:val="auto"/>
        </w:rPr>
        <w:t xml:space="preserve">Local Hearing – </w:t>
      </w:r>
      <w:r w:rsidR="00081E7A" w:rsidRPr="00081E7A">
        <w:rPr>
          <w:color w:val="auto"/>
        </w:rPr>
        <w:t>complaint to be determined by</w:t>
      </w:r>
      <w:r w:rsidRPr="00081E7A">
        <w:rPr>
          <w:color w:val="auto"/>
        </w:rPr>
        <w:t xml:space="preserve"> the Standards Committee;</w:t>
      </w:r>
    </w:p>
    <w:p w:rsidR="00F35B93" w:rsidRPr="00081E7A" w:rsidRDefault="00F35B93" w:rsidP="00081E7A">
      <w:pPr>
        <w:pStyle w:val="ListParagraph"/>
        <w:numPr>
          <w:ilvl w:val="0"/>
          <w:numId w:val="23"/>
        </w:numPr>
        <w:spacing w:after="0"/>
        <w:rPr>
          <w:color w:val="auto"/>
        </w:rPr>
      </w:pPr>
      <w:r w:rsidRPr="00081E7A">
        <w:rPr>
          <w:color w:val="auto"/>
        </w:rPr>
        <w:t xml:space="preserve">Local Resolution - </w:t>
      </w:r>
      <w:r w:rsidR="00081E7A" w:rsidRPr="00081E7A">
        <w:rPr>
          <w:color w:val="auto"/>
        </w:rPr>
        <w:t>a fair resolution of the complaint which is acceptable to all parties</w:t>
      </w:r>
      <w:r w:rsidRPr="00081E7A">
        <w:rPr>
          <w:color w:val="auto"/>
        </w:rPr>
        <w:t>; or</w:t>
      </w:r>
    </w:p>
    <w:p w:rsidR="00F35B93" w:rsidRDefault="00081E7A" w:rsidP="00F35B93">
      <w:pPr>
        <w:pStyle w:val="ListParagraph"/>
        <w:numPr>
          <w:ilvl w:val="0"/>
          <w:numId w:val="23"/>
        </w:numPr>
        <w:spacing w:after="0"/>
        <w:rPr>
          <w:color w:val="auto"/>
        </w:rPr>
      </w:pPr>
      <w:r w:rsidRPr="00081E7A">
        <w:rPr>
          <w:color w:val="auto"/>
        </w:rPr>
        <w:t>No action - c</w:t>
      </w:r>
      <w:r w:rsidR="00F35B93" w:rsidRPr="00081E7A">
        <w:rPr>
          <w:color w:val="auto"/>
        </w:rPr>
        <w:t>omplaint dismissed</w:t>
      </w:r>
      <w:r w:rsidRPr="00081E7A">
        <w:rPr>
          <w:color w:val="auto"/>
        </w:rPr>
        <w:t xml:space="preserve"> as no breach of the Code of Conduct</w:t>
      </w:r>
      <w:r w:rsidR="00F35B93" w:rsidRPr="00081E7A">
        <w:rPr>
          <w:color w:val="auto"/>
        </w:rPr>
        <w:t>.</w:t>
      </w:r>
    </w:p>
    <w:p w:rsidR="00312D11" w:rsidRPr="00312D11" w:rsidRDefault="00312D11" w:rsidP="00312D11">
      <w:pPr>
        <w:spacing w:after="0"/>
        <w:ind w:left="1440"/>
        <w:rPr>
          <w:color w:val="auto"/>
        </w:rPr>
      </w:pPr>
    </w:p>
    <w:p w:rsidR="00312D11" w:rsidRPr="005A1081" w:rsidRDefault="00312D11" w:rsidP="00312D11">
      <w:pPr>
        <w:pStyle w:val="ListParagraph"/>
        <w:numPr>
          <w:ilvl w:val="0"/>
          <w:numId w:val="6"/>
        </w:numPr>
        <w:spacing w:after="0"/>
        <w:rPr>
          <w:color w:val="auto"/>
        </w:rPr>
      </w:pPr>
      <w:r w:rsidRPr="005A1081">
        <w:rPr>
          <w:color w:val="auto"/>
        </w:rPr>
        <w:t>The Standards Committee is responsible for promoting high standards of ethical behaviour by developing, maintaining and monitoring the Members’ Code of Conduct</w:t>
      </w:r>
      <w:r w:rsidR="009D5E38">
        <w:rPr>
          <w:color w:val="auto"/>
        </w:rPr>
        <w:t>.  It does this by considering this report from the Monitoring Officer which</w:t>
      </w:r>
      <w:r w:rsidRPr="005A1081">
        <w:rPr>
          <w:color w:val="auto"/>
        </w:rPr>
        <w:t xml:space="preserve"> </w:t>
      </w:r>
      <w:r w:rsidR="009D5E38">
        <w:rPr>
          <w:color w:val="auto"/>
        </w:rPr>
        <w:t xml:space="preserve">identifies </w:t>
      </w:r>
      <w:r w:rsidRPr="005A1081">
        <w:rPr>
          <w:color w:val="auto"/>
        </w:rPr>
        <w:t xml:space="preserve">any issues or learning points arising from the complaints received. </w:t>
      </w:r>
    </w:p>
    <w:p w:rsidR="00081E7A" w:rsidRDefault="00081E7A" w:rsidP="00CF5FC2">
      <w:pPr>
        <w:spacing w:after="0"/>
        <w:rPr>
          <w:color w:val="FF0000"/>
        </w:rPr>
      </w:pPr>
    </w:p>
    <w:p w:rsidR="00D23E8F" w:rsidRPr="00D23E8F" w:rsidRDefault="00D23E8F" w:rsidP="00D23E8F">
      <w:pPr>
        <w:widowControl w:val="0"/>
        <w:tabs>
          <w:tab w:val="left" w:pos="1093"/>
          <w:tab w:val="left" w:pos="1094"/>
        </w:tabs>
        <w:autoSpaceDE w:val="0"/>
        <w:autoSpaceDN w:val="0"/>
        <w:rPr>
          <w:b/>
        </w:rPr>
      </w:pPr>
      <w:r w:rsidRPr="00D23E8F">
        <w:rPr>
          <w:b/>
        </w:rPr>
        <w:t xml:space="preserve">Complaints made against </w:t>
      </w:r>
      <w:r>
        <w:rPr>
          <w:b/>
        </w:rPr>
        <w:t>Member</w:t>
      </w:r>
      <w:r w:rsidRPr="00D23E8F">
        <w:rPr>
          <w:b/>
        </w:rPr>
        <w:t xml:space="preserve">s </w:t>
      </w:r>
      <w:r>
        <w:rPr>
          <w:b/>
        </w:rPr>
        <w:t>of</w:t>
      </w:r>
      <w:r w:rsidRPr="00D23E8F">
        <w:rPr>
          <w:b/>
        </w:rPr>
        <w:t xml:space="preserve"> Oxford City Council</w:t>
      </w:r>
      <w:r>
        <w:rPr>
          <w:b/>
        </w:rPr>
        <w:t xml:space="preserve"> or Parish Council</w:t>
      </w:r>
    </w:p>
    <w:p w:rsidR="000522BC" w:rsidRPr="000522BC" w:rsidRDefault="000522BC" w:rsidP="009D5E38">
      <w:pPr>
        <w:pStyle w:val="ListParagraph"/>
        <w:numPr>
          <w:ilvl w:val="0"/>
          <w:numId w:val="6"/>
        </w:numPr>
        <w:spacing w:after="0"/>
        <w:ind w:left="357" w:hanging="357"/>
        <w:rPr>
          <w:color w:val="00B050"/>
        </w:rPr>
      </w:pPr>
      <w:r w:rsidRPr="000522BC">
        <w:rPr>
          <w:color w:val="auto"/>
        </w:rPr>
        <w:t>Since the last meeting of the Standards Committee on</w:t>
      </w:r>
      <w:r w:rsidR="00CF5FC2" w:rsidRPr="000522BC">
        <w:rPr>
          <w:color w:val="auto"/>
        </w:rPr>
        <w:t xml:space="preserve"> 1 </w:t>
      </w:r>
      <w:r w:rsidRPr="000522BC">
        <w:rPr>
          <w:color w:val="auto"/>
        </w:rPr>
        <w:t>November</w:t>
      </w:r>
      <w:r w:rsidR="00CF5FC2" w:rsidRPr="000522BC">
        <w:rPr>
          <w:color w:val="auto"/>
        </w:rPr>
        <w:t xml:space="preserve"> 2017 up to and including 31 August 2018 the Monitoring </w:t>
      </w:r>
      <w:r w:rsidR="00CF5FC2" w:rsidRPr="00355F8D">
        <w:rPr>
          <w:color w:val="auto"/>
        </w:rPr>
        <w:t xml:space="preserve">Officer </w:t>
      </w:r>
      <w:r w:rsidRPr="00355F8D">
        <w:rPr>
          <w:color w:val="auto"/>
        </w:rPr>
        <w:t xml:space="preserve">has </w:t>
      </w:r>
      <w:r w:rsidR="00CF5FC2" w:rsidRPr="00355F8D">
        <w:rPr>
          <w:color w:val="auto"/>
        </w:rPr>
        <w:t xml:space="preserve">received </w:t>
      </w:r>
      <w:r w:rsidR="00C7197F">
        <w:rPr>
          <w:color w:val="auto"/>
        </w:rPr>
        <w:t>three</w:t>
      </w:r>
      <w:r w:rsidR="002D1E8A" w:rsidRPr="00355F8D">
        <w:rPr>
          <w:color w:val="auto"/>
        </w:rPr>
        <w:t xml:space="preserve"> complaints. </w:t>
      </w:r>
      <w:r w:rsidR="00C7197F">
        <w:rPr>
          <w:color w:val="auto"/>
        </w:rPr>
        <w:t>Two o</w:t>
      </w:r>
      <w:r w:rsidR="00CF5FC2" w:rsidRPr="00355F8D">
        <w:rPr>
          <w:color w:val="auto"/>
        </w:rPr>
        <w:t xml:space="preserve">f these </w:t>
      </w:r>
      <w:r w:rsidR="002D1E8A" w:rsidRPr="00355F8D">
        <w:rPr>
          <w:color w:val="auto"/>
        </w:rPr>
        <w:t xml:space="preserve">complaints </w:t>
      </w:r>
      <w:r w:rsidR="005A1081">
        <w:rPr>
          <w:color w:val="auto"/>
        </w:rPr>
        <w:t>con</w:t>
      </w:r>
      <w:r w:rsidR="00532D0F">
        <w:rPr>
          <w:color w:val="auto"/>
        </w:rPr>
        <w:t>c</w:t>
      </w:r>
      <w:r w:rsidR="005A1081">
        <w:rPr>
          <w:color w:val="auto"/>
        </w:rPr>
        <w:t>erned</w:t>
      </w:r>
      <w:r w:rsidR="002D1E8A" w:rsidRPr="00355F8D">
        <w:rPr>
          <w:color w:val="auto"/>
        </w:rPr>
        <w:t xml:space="preserve"> </w:t>
      </w:r>
      <w:r w:rsidR="005A1081">
        <w:rPr>
          <w:color w:val="auto"/>
        </w:rPr>
        <w:t>Oxford City Councillors</w:t>
      </w:r>
      <w:r w:rsidR="002D1E8A" w:rsidRPr="00355F8D">
        <w:rPr>
          <w:color w:val="auto"/>
        </w:rPr>
        <w:t xml:space="preserve">, whilst </w:t>
      </w:r>
      <w:r w:rsidRPr="00355F8D">
        <w:rPr>
          <w:color w:val="auto"/>
        </w:rPr>
        <w:t>the other</w:t>
      </w:r>
      <w:r w:rsidR="002D1E8A" w:rsidRPr="00355F8D">
        <w:rPr>
          <w:color w:val="auto"/>
        </w:rPr>
        <w:t xml:space="preserve"> </w:t>
      </w:r>
      <w:r w:rsidR="00323A9E">
        <w:rPr>
          <w:color w:val="auto"/>
        </w:rPr>
        <w:t>one</w:t>
      </w:r>
      <w:r w:rsidR="002D1E8A" w:rsidRPr="00355F8D">
        <w:rPr>
          <w:color w:val="auto"/>
        </w:rPr>
        <w:t xml:space="preserve"> </w:t>
      </w:r>
      <w:r w:rsidR="00355F8D" w:rsidRPr="00355F8D">
        <w:rPr>
          <w:color w:val="auto"/>
        </w:rPr>
        <w:t>related to</w:t>
      </w:r>
      <w:r w:rsidRPr="00355F8D">
        <w:rPr>
          <w:color w:val="auto"/>
        </w:rPr>
        <w:t xml:space="preserve"> </w:t>
      </w:r>
      <w:r w:rsidR="005A1081">
        <w:rPr>
          <w:color w:val="auto"/>
        </w:rPr>
        <w:t>m</w:t>
      </w:r>
      <w:r w:rsidR="002D1E8A" w:rsidRPr="00355F8D">
        <w:rPr>
          <w:color w:val="auto"/>
        </w:rPr>
        <w:t>ember</w:t>
      </w:r>
      <w:r w:rsidRPr="00355F8D">
        <w:rPr>
          <w:color w:val="auto"/>
        </w:rPr>
        <w:t xml:space="preserve">s </w:t>
      </w:r>
      <w:r w:rsidR="002D1E8A" w:rsidRPr="00355F8D">
        <w:rPr>
          <w:color w:val="auto"/>
        </w:rPr>
        <w:t>of a parish council.</w:t>
      </w:r>
      <w:r w:rsidR="00D23E8F" w:rsidRPr="00355F8D">
        <w:rPr>
          <w:color w:val="auto"/>
        </w:rPr>
        <w:t xml:space="preserve"> </w:t>
      </w:r>
      <w:r w:rsidRPr="00355F8D">
        <w:rPr>
          <w:color w:val="auto"/>
        </w:rPr>
        <w:t xml:space="preserve"> </w:t>
      </w:r>
    </w:p>
    <w:p w:rsidR="000D024A" w:rsidRPr="002D1E8A" w:rsidRDefault="000D024A" w:rsidP="002D1E8A">
      <w:pPr>
        <w:spacing w:after="0"/>
        <w:rPr>
          <w:color w:val="FF0000"/>
        </w:rPr>
      </w:pPr>
    </w:p>
    <w:p w:rsidR="002D1E8A" w:rsidRPr="006C7E41" w:rsidRDefault="002D1E8A" w:rsidP="005A1081">
      <w:pPr>
        <w:pStyle w:val="ListParagraph"/>
        <w:numPr>
          <w:ilvl w:val="0"/>
          <w:numId w:val="6"/>
        </w:numPr>
        <w:tabs>
          <w:tab w:val="left" w:pos="1094"/>
        </w:tabs>
        <w:ind w:left="357" w:right="227" w:hanging="357"/>
        <w:rPr>
          <w:color w:val="auto"/>
        </w:rPr>
      </w:pPr>
      <w:r w:rsidRPr="006C7E41">
        <w:rPr>
          <w:color w:val="auto"/>
        </w:rPr>
        <w:t xml:space="preserve">Of the </w:t>
      </w:r>
      <w:r w:rsidR="00C7197F">
        <w:rPr>
          <w:color w:val="auto"/>
        </w:rPr>
        <w:t>three</w:t>
      </w:r>
      <w:r w:rsidRPr="006C7E41">
        <w:rPr>
          <w:color w:val="auto"/>
        </w:rPr>
        <w:t xml:space="preserve"> complaints received, the following paragraphs of the Oxford City Council Member</w:t>
      </w:r>
      <w:r w:rsidR="00532D0F">
        <w:rPr>
          <w:color w:val="auto"/>
        </w:rPr>
        <w:t>s’</w:t>
      </w:r>
      <w:r w:rsidRPr="006C7E41">
        <w:rPr>
          <w:color w:val="auto"/>
        </w:rPr>
        <w:t xml:space="preserve"> Code of Conduct were identified as allegedly having been breached:</w:t>
      </w:r>
    </w:p>
    <w:p w:rsidR="002D1E8A" w:rsidRPr="000D024A" w:rsidRDefault="002D1E8A" w:rsidP="002D1E8A">
      <w:pPr>
        <w:pStyle w:val="BodyText"/>
        <w:spacing w:before="6"/>
        <w:rPr>
          <w:color w:val="FF0000"/>
          <w:sz w:val="17"/>
        </w:rPr>
      </w:pPr>
    </w:p>
    <w:tbl>
      <w:tblPr>
        <w:tblW w:w="8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2"/>
        <w:gridCol w:w="5124"/>
        <w:gridCol w:w="993"/>
        <w:gridCol w:w="1113"/>
      </w:tblGrid>
      <w:tr w:rsidR="003F6B1C" w:rsidRPr="003F6B1C" w:rsidTr="006C7E41">
        <w:trPr>
          <w:cantSplit/>
          <w:trHeight w:hRule="exact" w:val="391"/>
          <w:jc w:val="center"/>
        </w:trPr>
        <w:tc>
          <w:tcPr>
            <w:tcW w:w="1292" w:type="dxa"/>
            <w:vMerge w:val="restart"/>
            <w:tcBorders>
              <w:right w:val="single" w:sz="4" w:space="0" w:color="auto"/>
            </w:tcBorders>
          </w:tcPr>
          <w:p w:rsidR="003F6B1C" w:rsidRPr="003F6B1C" w:rsidRDefault="003F6B1C" w:rsidP="003F6B1C">
            <w:pPr>
              <w:pStyle w:val="TableParagraph"/>
              <w:spacing w:line="240" w:lineRule="auto"/>
              <w:ind w:left="84" w:right="82"/>
              <w:rPr>
                <w:b/>
              </w:rPr>
            </w:pPr>
          </w:p>
          <w:p w:rsidR="003F6B1C" w:rsidRPr="003F6B1C" w:rsidRDefault="003F6B1C" w:rsidP="003F6B1C">
            <w:pPr>
              <w:pStyle w:val="TableParagraph"/>
              <w:spacing w:line="240" w:lineRule="auto"/>
              <w:ind w:left="85" w:right="79"/>
              <w:rPr>
                <w:b/>
              </w:rPr>
            </w:pPr>
            <w:r w:rsidRPr="003F6B1C">
              <w:rPr>
                <w:b/>
              </w:rPr>
              <w:t>Paragraph</w:t>
            </w:r>
          </w:p>
        </w:tc>
        <w:tc>
          <w:tcPr>
            <w:tcW w:w="5124" w:type="dxa"/>
            <w:vMerge w:val="restart"/>
            <w:tcBorders>
              <w:right w:val="single" w:sz="4" w:space="0" w:color="auto"/>
            </w:tcBorders>
          </w:tcPr>
          <w:p w:rsidR="003F6B1C" w:rsidRPr="003F6B1C" w:rsidRDefault="003F6B1C" w:rsidP="003F6B1C">
            <w:pPr>
              <w:spacing w:after="0"/>
              <w:jc w:val="center"/>
              <w:rPr>
                <w:rFonts w:cs="Arial"/>
                <w:b/>
                <w:color w:val="auto"/>
                <w:sz w:val="22"/>
                <w:szCs w:val="22"/>
              </w:rPr>
            </w:pPr>
          </w:p>
          <w:p w:rsidR="003F6B1C" w:rsidRPr="003F6B1C" w:rsidRDefault="003F6B1C" w:rsidP="003F6B1C">
            <w:pPr>
              <w:spacing w:after="0"/>
              <w:jc w:val="center"/>
              <w:rPr>
                <w:b/>
                <w:color w:val="auto"/>
                <w:sz w:val="22"/>
                <w:szCs w:val="22"/>
              </w:rPr>
            </w:pPr>
            <w:r w:rsidRPr="003F6B1C">
              <w:rPr>
                <w:b/>
                <w:color w:val="auto"/>
                <w:sz w:val="22"/>
                <w:szCs w:val="22"/>
              </w:rPr>
              <w:t>Behaviour</w:t>
            </w:r>
          </w:p>
        </w:tc>
        <w:tc>
          <w:tcPr>
            <w:tcW w:w="2106" w:type="dxa"/>
            <w:gridSpan w:val="2"/>
            <w:tcBorders>
              <w:right w:val="single" w:sz="4" w:space="0" w:color="auto"/>
            </w:tcBorders>
          </w:tcPr>
          <w:p w:rsidR="003F6B1C" w:rsidRPr="003F6B1C" w:rsidRDefault="003F6B1C" w:rsidP="003F6B1C">
            <w:pPr>
              <w:pStyle w:val="TableParagraph"/>
              <w:tabs>
                <w:tab w:val="left" w:pos="6637"/>
              </w:tabs>
              <w:spacing w:before="120" w:line="240" w:lineRule="auto"/>
              <w:ind w:left="421"/>
              <w:jc w:val="left"/>
              <w:rPr>
                <w:b/>
              </w:rPr>
            </w:pPr>
            <w:r w:rsidRPr="003F6B1C">
              <w:rPr>
                <w:b/>
              </w:rPr>
              <w:t>No.</w:t>
            </w:r>
            <w:r w:rsidRPr="003F6B1C">
              <w:rPr>
                <w:b/>
                <w:spacing w:val="-10"/>
              </w:rPr>
              <w:t xml:space="preserve"> </w:t>
            </w:r>
            <w:r w:rsidRPr="003F6B1C">
              <w:rPr>
                <w:b/>
              </w:rPr>
              <w:t>received</w:t>
            </w:r>
          </w:p>
        </w:tc>
      </w:tr>
      <w:tr w:rsidR="003F6B1C" w:rsidRPr="003F6B1C" w:rsidTr="006C7E41">
        <w:trPr>
          <w:cantSplit/>
          <w:trHeight w:hRule="exact" w:val="470"/>
          <w:jc w:val="center"/>
        </w:trPr>
        <w:tc>
          <w:tcPr>
            <w:tcW w:w="1292" w:type="dxa"/>
            <w:vMerge/>
          </w:tcPr>
          <w:p w:rsidR="003F6B1C" w:rsidRPr="003F6B1C" w:rsidRDefault="003F6B1C" w:rsidP="003F6B1C">
            <w:pPr>
              <w:pStyle w:val="TableParagraph"/>
              <w:spacing w:line="240" w:lineRule="auto"/>
              <w:ind w:left="84" w:right="82"/>
              <w:rPr>
                <w:b/>
              </w:rPr>
            </w:pPr>
          </w:p>
        </w:tc>
        <w:tc>
          <w:tcPr>
            <w:tcW w:w="5124" w:type="dxa"/>
            <w:vMerge/>
            <w:tcBorders>
              <w:right w:val="single" w:sz="4" w:space="0" w:color="auto"/>
            </w:tcBorders>
          </w:tcPr>
          <w:p w:rsidR="003F6B1C" w:rsidRPr="003F6B1C" w:rsidRDefault="003F6B1C" w:rsidP="003F6B1C">
            <w:pPr>
              <w:spacing w:after="0"/>
              <w:jc w:val="center"/>
              <w:rPr>
                <w:rFonts w:cs="Arial"/>
                <w:b/>
                <w:color w:val="auto"/>
                <w:sz w:val="22"/>
                <w:szCs w:val="22"/>
              </w:rPr>
            </w:pPr>
          </w:p>
        </w:tc>
        <w:tc>
          <w:tcPr>
            <w:tcW w:w="993" w:type="dxa"/>
            <w:tcBorders>
              <w:left w:val="single" w:sz="4" w:space="0" w:color="auto"/>
            </w:tcBorders>
          </w:tcPr>
          <w:p w:rsidR="003F6B1C" w:rsidRPr="003F6B1C" w:rsidRDefault="003F6B1C" w:rsidP="006C7E41">
            <w:pPr>
              <w:pStyle w:val="TableParagraph"/>
              <w:spacing w:before="120" w:line="240" w:lineRule="auto"/>
              <w:ind w:left="110"/>
              <w:rPr>
                <w:b/>
              </w:rPr>
            </w:pPr>
            <w:r w:rsidRPr="003F6B1C">
              <w:rPr>
                <w:b/>
              </w:rPr>
              <w:t>City</w:t>
            </w:r>
          </w:p>
        </w:tc>
        <w:tc>
          <w:tcPr>
            <w:tcW w:w="1113" w:type="dxa"/>
          </w:tcPr>
          <w:p w:rsidR="003F6B1C" w:rsidRPr="003F6B1C" w:rsidRDefault="003F6B1C" w:rsidP="006C7E41">
            <w:pPr>
              <w:pStyle w:val="TableParagraph"/>
              <w:spacing w:before="120" w:line="240" w:lineRule="auto"/>
              <w:ind w:left="154" w:firstLine="38"/>
              <w:rPr>
                <w:b/>
              </w:rPr>
            </w:pPr>
            <w:r w:rsidRPr="003F6B1C">
              <w:rPr>
                <w:b/>
                <w:w w:val="95"/>
              </w:rPr>
              <w:t>Parish</w:t>
            </w:r>
          </w:p>
        </w:tc>
      </w:tr>
      <w:tr w:rsidR="000D024A" w:rsidRPr="003F6B1C" w:rsidTr="006C7E41">
        <w:trPr>
          <w:cantSplit/>
          <w:trHeight w:hRule="exact" w:val="262"/>
          <w:jc w:val="center"/>
        </w:trPr>
        <w:tc>
          <w:tcPr>
            <w:tcW w:w="1292" w:type="dxa"/>
          </w:tcPr>
          <w:p w:rsidR="002D1E8A" w:rsidRPr="003F6B1C" w:rsidRDefault="000C1097" w:rsidP="00F2676D">
            <w:pPr>
              <w:pStyle w:val="TableParagraph"/>
              <w:spacing w:after="120"/>
            </w:pPr>
            <w:r w:rsidRPr="003F6B1C">
              <w:t>3</w:t>
            </w:r>
          </w:p>
        </w:tc>
        <w:tc>
          <w:tcPr>
            <w:tcW w:w="5124" w:type="dxa"/>
          </w:tcPr>
          <w:p w:rsidR="002D1E8A" w:rsidRPr="003F6B1C" w:rsidRDefault="002D1E8A" w:rsidP="00FD05B1">
            <w:pPr>
              <w:pStyle w:val="TableParagraph"/>
              <w:ind w:left="103"/>
              <w:jc w:val="left"/>
            </w:pPr>
            <w:r w:rsidRPr="003F6B1C">
              <w:t>Selflessness</w:t>
            </w:r>
          </w:p>
        </w:tc>
        <w:tc>
          <w:tcPr>
            <w:tcW w:w="993" w:type="dxa"/>
          </w:tcPr>
          <w:p w:rsidR="002D1E8A" w:rsidRPr="003F6B1C" w:rsidRDefault="002D1E8A" w:rsidP="00FD05B1">
            <w:pPr>
              <w:pStyle w:val="TableParagraph"/>
              <w:ind w:right="17"/>
              <w:rPr>
                <w:color w:val="FF0000"/>
              </w:rPr>
            </w:pPr>
          </w:p>
        </w:tc>
        <w:tc>
          <w:tcPr>
            <w:tcW w:w="1113" w:type="dxa"/>
          </w:tcPr>
          <w:p w:rsidR="002D1E8A" w:rsidRPr="003F6B1C" w:rsidRDefault="002D1E8A" w:rsidP="00FD05B1">
            <w:pPr>
              <w:pStyle w:val="TableParagraph"/>
              <w:ind w:right="14"/>
              <w:rPr>
                <w:color w:val="FF0000"/>
              </w:rPr>
            </w:pPr>
          </w:p>
        </w:tc>
      </w:tr>
      <w:tr w:rsidR="000D024A" w:rsidRPr="003F6B1C" w:rsidTr="006C7E41">
        <w:trPr>
          <w:cantSplit/>
          <w:trHeight w:hRule="exact" w:val="264"/>
          <w:jc w:val="center"/>
        </w:trPr>
        <w:tc>
          <w:tcPr>
            <w:tcW w:w="1292" w:type="dxa"/>
          </w:tcPr>
          <w:p w:rsidR="002D1E8A" w:rsidRPr="003F6B1C" w:rsidRDefault="000C1097" w:rsidP="00F2676D">
            <w:pPr>
              <w:pStyle w:val="TableParagraph"/>
              <w:spacing w:after="120"/>
            </w:pPr>
            <w:r w:rsidRPr="003F6B1C">
              <w:t>4</w:t>
            </w:r>
          </w:p>
        </w:tc>
        <w:tc>
          <w:tcPr>
            <w:tcW w:w="5124" w:type="dxa"/>
          </w:tcPr>
          <w:p w:rsidR="002D1E8A" w:rsidRPr="003F6B1C" w:rsidRDefault="000C1097" w:rsidP="00FD05B1">
            <w:pPr>
              <w:pStyle w:val="TableParagraph"/>
              <w:ind w:left="103"/>
              <w:jc w:val="left"/>
            </w:pPr>
            <w:r w:rsidRPr="003F6B1C">
              <w:t>Objectivity</w:t>
            </w:r>
          </w:p>
        </w:tc>
        <w:tc>
          <w:tcPr>
            <w:tcW w:w="993" w:type="dxa"/>
          </w:tcPr>
          <w:p w:rsidR="002D1E8A" w:rsidRPr="003F6B1C" w:rsidRDefault="002D1E8A" w:rsidP="00FD05B1">
            <w:pPr>
              <w:pStyle w:val="TableParagraph"/>
              <w:ind w:right="17"/>
              <w:rPr>
                <w:color w:val="FF0000"/>
              </w:rPr>
            </w:pPr>
          </w:p>
        </w:tc>
        <w:tc>
          <w:tcPr>
            <w:tcW w:w="1113" w:type="dxa"/>
          </w:tcPr>
          <w:p w:rsidR="002D1E8A" w:rsidRPr="003F6B1C" w:rsidRDefault="002D1E8A" w:rsidP="00FD05B1">
            <w:pPr>
              <w:pStyle w:val="TableParagraph"/>
              <w:ind w:right="14"/>
              <w:rPr>
                <w:color w:val="FF0000"/>
              </w:rPr>
            </w:pPr>
          </w:p>
        </w:tc>
      </w:tr>
      <w:tr w:rsidR="000D024A" w:rsidRPr="003F6B1C" w:rsidTr="006C7E41">
        <w:trPr>
          <w:cantSplit/>
          <w:trHeight w:hRule="exact" w:val="262"/>
          <w:jc w:val="center"/>
        </w:trPr>
        <w:tc>
          <w:tcPr>
            <w:tcW w:w="1292" w:type="dxa"/>
          </w:tcPr>
          <w:p w:rsidR="002D1E8A" w:rsidRPr="003F6B1C" w:rsidRDefault="000C1097" w:rsidP="00F2676D">
            <w:pPr>
              <w:pStyle w:val="TableParagraph"/>
              <w:spacing w:after="120"/>
            </w:pPr>
            <w:r w:rsidRPr="003F6B1C">
              <w:t>5</w:t>
            </w:r>
          </w:p>
        </w:tc>
        <w:tc>
          <w:tcPr>
            <w:tcW w:w="5124" w:type="dxa"/>
          </w:tcPr>
          <w:p w:rsidR="002D1E8A" w:rsidRPr="003F6B1C" w:rsidRDefault="000C1097" w:rsidP="00FD05B1">
            <w:pPr>
              <w:pStyle w:val="TableParagraph"/>
              <w:ind w:left="103"/>
              <w:jc w:val="left"/>
            </w:pPr>
            <w:r w:rsidRPr="003F6B1C">
              <w:t>Accountability</w:t>
            </w:r>
          </w:p>
        </w:tc>
        <w:tc>
          <w:tcPr>
            <w:tcW w:w="993" w:type="dxa"/>
          </w:tcPr>
          <w:p w:rsidR="002D1E8A" w:rsidRPr="003F6B1C" w:rsidRDefault="002D1E8A" w:rsidP="00FD05B1">
            <w:pPr>
              <w:pStyle w:val="TableParagraph"/>
              <w:ind w:right="17"/>
              <w:rPr>
                <w:color w:val="FF0000"/>
              </w:rPr>
            </w:pPr>
          </w:p>
        </w:tc>
        <w:tc>
          <w:tcPr>
            <w:tcW w:w="1113" w:type="dxa"/>
          </w:tcPr>
          <w:p w:rsidR="002D1E8A" w:rsidRPr="003F6B1C" w:rsidRDefault="002D1E8A" w:rsidP="00FD05B1">
            <w:pPr>
              <w:pStyle w:val="TableParagraph"/>
              <w:ind w:right="14"/>
              <w:rPr>
                <w:color w:val="FF0000"/>
              </w:rPr>
            </w:pPr>
          </w:p>
        </w:tc>
      </w:tr>
      <w:tr w:rsidR="000D024A" w:rsidRPr="003F6B1C" w:rsidTr="006C7E41">
        <w:trPr>
          <w:cantSplit/>
          <w:trHeight w:hRule="exact" w:val="264"/>
          <w:jc w:val="center"/>
        </w:trPr>
        <w:tc>
          <w:tcPr>
            <w:tcW w:w="1292" w:type="dxa"/>
          </w:tcPr>
          <w:p w:rsidR="002D1E8A" w:rsidRPr="003F6B1C" w:rsidRDefault="000C1097" w:rsidP="00F2676D">
            <w:pPr>
              <w:pStyle w:val="TableParagraph"/>
              <w:spacing w:after="120"/>
            </w:pPr>
            <w:r w:rsidRPr="003F6B1C">
              <w:t>6</w:t>
            </w:r>
          </w:p>
        </w:tc>
        <w:tc>
          <w:tcPr>
            <w:tcW w:w="5124" w:type="dxa"/>
          </w:tcPr>
          <w:p w:rsidR="002D1E8A" w:rsidRPr="003F6B1C" w:rsidRDefault="000C1097" w:rsidP="00FD05B1">
            <w:pPr>
              <w:pStyle w:val="TableParagraph"/>
              <w:ind w:left="103"/>
              <w:jc w:val="left"/>
            </w:pPr>
            <w:r w:rsidRPr="003F6B1C">
              <w:t>Openness</w:t>
            </w:r>
          </w:p>
        </w:tc>
        <w:tc>
          <w:tcPr>
            <w:tcW w:w="993" w:type="dxa"/>
          </w:tcPr>
          <w:p w:rsidR="002D1E8A" w:rsidRPr="003F6B1C" w:rsidRDefault="002D1E8A" w:rsidP="00FD05B1">
            <w:pPr>
              <w:pStyle w:val="TableParagraph"/>
              <w:ind w:right="17"/>
              <w:rPr>
                <w:color w:val="FF0000"/>
              </w:rPr>
            </w:pPr>
          </w:p>
        </w:tc>
        <w:tc>
          <w:tcPr>
            <w:tcW w:w="1113" w:type="dxa"/>
          </w:tcPr>
          <w:p w:rsidR="002D1E8A" w:rsidRPr="003F6B1C" w:rsidRDefault="002D1E8A" w:rsidP="00FD05B1">
            <w:pPr>
              <w:pStyle w:val="TableParagraph"/>
              <w:ind w:right="14"/>
              <w:rPr>
                <w:color w:val="FF0000"/>
              </w:rPr>
            </w:pPr>
          </w:p>
        </w:tc>
      </w:tr>
      <w:tr w:rsidR="000C1097" w:rsidRPr="003F6B1C" w:rsidTr="006C7E41">
        <w:trPr>
          <w:cantSplit/>
          <w:trHeight w:hRule="exact" w:val="264"/>
          <w:jc w:val="center"/>
        </w:trPr>
        <w:tc>
          <w:tcPr>
            <w:tcW w:w="1292" w:type="dxa"/>
          </w:tcPr>
          <w:p w:rsidR="000C1097" w:rsidRPr="003F6B1C" w:rsidRDefault="000C1097" w:rsidP="00F2676D">
            <w:pPr>
              <w:pStyle w:val="TableParagraph"/>
              <w:spacing w:after="120"/>
            </w:pPr>
            <w:r w:rsidRPr="003F6B1C">
              <w:t>7</w:t>
            </w:r>
          </w:p>
        </w:tc>
        <w:tc>
          <w:tcPr>
            <w:tcW w:w="5124" w:type="dxa"/>
          </w:tcPr>
          <w:p w:rsidR="000C1097" w:rsidRPr="003F6B1C" w:rsidRDefault="000C1097" w:rsidP="00FD05B1">
            <w:pPr>
              <w:pStyle w:val="TableParagraph"/>
              <w:ind w:left="103"/>
              <w:jc w:val="left"/>
            </w:pPr>
            <w:r w:rsidRPr="003F6B1C">
              <w:t>Honesty and Integrity</w:t>
            </w:r>
          </w:p>
        </w:tc>
        <w:tc>
          <w:tcPr>
            <w:tcW w:w="993" w:type="dxa"/>
          </w:tcPr>
          <w:p w:rsidR="000C1097" w:rsidRPr="006C7E41" w:rsidRDefault="006C7E41" w:rsidP="00FD05B1">
            <w:pPr>
              <w:pStyle w:val="TableParagraph"/>
              <w:ind w:right="17"/>
            </w:pPr>
            <w:r w:rsidRPr="006C7E41">
              <w:t>2</w:t>
            </w:r>
          </w:p>
        </w:tc>
        <w:tc>
          <w:tcPr>
            <w:tcW w:w="1113" w:type="dxa"/>
          </w:tcPr>
          <w:p w:rsidR="000C1097" w:rsidRPr="003F6B1C" w:rsidRDefault="000C1097" w:rsidP="00FD05B1">
            <w:pPr>
              <w:pStyle w:val="TableParagraph"/>
              <w:ind w:right="14"/>
              <w:rPr>
                <w:color w:val="FF0000"/>
              </w:rPr>
            </w:pPr>
          </w:p>
        </w:tc>
      </w:tr>
      <w:tr w:rsidR="000D024A" w:rsidRPr="003F6B1C" w:rsidTr="006C7E41">
        <w:trPr>
          <w:cantSplit/>
          <w:trHeight w:hRule="exact" w:val="262"/>
          <w:jc w:val="center"/>
        </w:trPr>
        <w:tc>
          <w:tcPr>
            <w:tcW w:w="1292" w:type="dxa"/>
          </w:tcPr>
          <w:p w:rsidR="002D1E8A" w:rsidRPr="003F6B1C" w:rsidRDefault="00F2676D" w:rsidP="00F2676D">
            <w:pPr>
              <w:pStyle w:val="TableParagraph"/>
              <w:spacing w:after="120"/>
            </w:pPr>
            <w:r w:rsidRPr="003F6B1C">
              <w:t>8</w:t>
            </w:r>
          </w:p>
        </w:tc>
        <w:tc>
          <w:tcPr>
            <w:tcW w:w="5124" w:type="dxa"/>
          </w:tcPr>
          <w:p w:rsidR="002D1E8A" w:rsidRPr="003F6B1C" w:rsidRDefault="00F2676D" w:rsidP="00FD05B1">
            <w:pPr>
              <w:pStyle w:val="TableParagraph"/>
              <w:ind w:left="103"/>
              <w:jc w:val="left"/>
            </w:pPr>
            <w:r w:rsidRPr="003F6B1C">
              <w:t>Leadership</w:t>
            </w:r>
          </w:p>
        </w:tc>
        <w:tc>
          <w:tcPr>
            <w:tcW w:w="993" w:type="dxa"/>
          </w:tcPr>
          <w:p w:rsidR="002D1E8A" w:rsidRPr="006C7E41" w:rsidRDefault="006C7E41" w:rsidP="00FD05B1">
            <w:pPr>
              <w:pStyle w:val="TableParagraph"/>
              <w:ind w:right="17"/>
            </w:pPr>
            <w:r w:rsidRPr="006C7E41">
              <w:t>1</w:t>
            </w:r>
          </w:p>
        </w:tc>
        <w:tc>
          <w:tcPr>
            <w:tcW w:w="1113" w:type="dxa"/>
          </w:tcPr>
          <w:p w:rsidR="002D1E8A" w:rsidRPr="003F6B1C" w:rsidRDefault="002D1E8A" w:rsidP="00FD05B1">
            <w:pPr>
              <w:pStyle w:val="TableParagraph"/>
              <w:ind w:right="14"/>
              <w:rPr>
                <w:color w:val="FF0000"/>
              </w:rPr>
            </w:pPr>
          </w:p>
        </w:tc>
      </w:tr>
      <w:tr w:rsidR="000D024A" w:rsidRPr="003F6B1C" w:rsidTr="006C7E41">
        <w:trPr>
          <w:cantSplit/>
          <w:trHeight w:hRule="exact" w:val="264"/>
          <w:jc w:val="center"/>
        </w:trPr>
        <w:tc>
          <w:tcPr>
            <w:tcW w:w="1292" w:type="dxa"/>
          </w:tcPr>
          <w:p w:rsidR="002D1E8A" w:rsidRPr="003F6B1C" w:rsidRDefault="002D1E8A" w:rsidP="00F2676D">
            <w:pPr>
              <w:rPr>
                <w:rFonts w:cs="Arial"/>
                <w:color w:val="FF0000"/>
                <w:sz w:val="22"/>
                <w:szCs w:val="22"/>
              </w:rPr>
            </w:pPr>
          </w:p>
        </w:tc>
        <w:tc>
          <w:tcPr>
            <w:tcW w:w="5124" w:type="dxa"/>
          </w:tcPr>
          <w:p w:rsidR="002D1E8A" w:rsidRPr="003F6B1C" w:rsidRDefault="00F2676D" w:rsidP="00FD05B1">
            <w:pPr>
              <w:pStyle w:val="TableParagraph"/>
              <w:spacing w:line="240" w:lineRule="auto"/>
              <w:ind w:left="103"/>
              <w:jc w:val="left"/>
              <w:rPr>
                <w:color w:val="FF0000"/>
              </w:rPr>
            </w:pPr>
            <w:r w:rsidRPr="003F6B1C">
              <w:t>General Obligations</w:t>
            </w:r>
          </w:p>
        </w:tc>
        <w:tc>
          <w:tcPr>
            <w:tcW w:w="993" w:type="dxa"/>
          </w:tcPr>
          <w:p w:rsidR="002D1E8A" w:rsidRPr="006C7E41" w:rsidRDefault="002D1E8A" w:rsidP="00FD05B1">
            <w:pPr>
              <w:pStyle w:val="TableParagraph"/>
              <w:spacing w:line="240" w:lineRule="auto"/>
              <w:ind w:right="17"/>
            </w:pPr>
          </w:p>
        </w:tc>
        <w:tc>
          <w:tcPr>
            <w:tcW w:w="1113" w:type="dxa"/>
          </w:tcPr>
          <w:p w:rsidR="002D1E8A" w:rsidRPr="003F6B1C" w:rsidRDefault="002D1E8A" w:rsidP="00FD05B1">
            <w:pPr>
              <w:pStyle w:val="TableParagraph"/>
              <w:spacing w:line="240" w:lineRule="auto"/>
              <w:ind w:right="14"/>
              <w:rPr>
                <w:color w:val="FF0000"/>
              </w:rPr>
            </w:pPr>
          </w:p>
        </w:tc>
      </w:tr>
      <w:tr w:rsidR="000D024A" w:rsidRPr="003F6B1C" w:rsidTr="006C7E41">
        <w:trPr>
          <w:cantSplit/>
          <w:trHeight w:hRule="exact" w:val="264"/>
          <w:jc w:val="center"/>
        </w:trPr>
        <w:tc>
          <w:tcPr>
            <w:tcW w:w="1292" w:type="dxa"/>
          </w:tcPr>
          <w:p w:rsidR="002D1E8A" w:rsidRPr="003F6B1C" w:rsidRDefault="00F2676D" w:rsidP="00F2676D">
            <w:pPr>
              <w:jc w:val="center"/>
              <w:rPr>
                <w:rFonts w:cs="Arial"/>
                <w:color w:val="auto"/>
                <w:sz w:val="22"/>
                <w:szCs w:val="22"/>
              </w:rPr>
            </w:pPr>
            <w:r w:rsidRPr="003F6B1C">
              <w:rPr>
                <w:rFonts w:cs="Arial"/>
                <w:color w:val="auto"/>
                <w:sz w:val="22"/>
                <w:szCs w:val="22"/>
              </w:rPr>
              <w:t>9</w:t>
            </w:r>
          </w:p>
        </w:tc>
        <w:tc>
          <w:tcPr>
            <w:tcW w:w="5124" w:type="dxa"/>
          </w:tcPr>
          <w:p w:rsidR="002D1E8A" w:rsidRPr="003F6B1C" w:rsidRDefault="00F2676D" w:rsidP="00F2676D">
            <w:pPr>
              <w:pStyle w:val="TableParagraph"/>
              <w:ind w:left="333"/>
              <w:jc w:val="left"/>
            </w:pPr>
            <w:r w:rsidRPr="003F6B1C">
              <w:t>Respect for others</w:t>
            </w:r>
          </w:p>
        </w:tc>
        <w:tc>
          <w:tcPr>
            <w:tcW w:w="993" w:type="dxa"/>
          </w:tcPr>
          <w:p w:rsidR="002D1E8A" w:rsidRPr="006C7E41" w:rsidRDefault="006C7E41" w:rsidP="00FD05B1">
            <w:pPr>
              <w:pStyle w:val="TableParagraph"/>
              <w:ind w:right="17"/>
            </w:pPr>
            <w:r w:rsidRPr="006C7E41">
              <w:t>1</w:t>
            </w:r>
          </w:p>
        </w:tc>
        <w:tc>
          <w:tcPr>
            <w:tcW w:w="1113" w:type="dxa"/>
          </w:tcPr>
          <w:p w:rsidR="002D1E8A" w:rsidRPr="003F6B1C" w:rsidRDefault="00D04108" w:rsidP="00FD05B1">
            <w:pPr>
              <w:pStyle w:val="TableParagraph"/>
              <w:ind w:right="14"/>
              <w:rPr>
                <w:color w:val="FF0000"/>
              </w:rPr>
            </w:pPr>
            <w:r w:rsidRPr="00D04108">
              <w:t>1</w:t>
            </w:r>
          </w:p>
        </w:tc>
      </w:tr>
      <w:tr w:rsidR="000D024A" w:rsidRPr="003F6B1C" w:rsidTr="006C7E41">
        <w:trPr>
          <w:cantSplit/>
          <w:trHeight w:hRule="exact" w:val="262"/>
          <w:jc w:val="center"/>
        </w:trPr>
        <w:tc>
          <w:tcPr>
            <w:tcW w:w="1292" w:type="dxa"/>
          </w:tcPr>
          <w:p w:rsidR="002D1E8A" w:rsidRPr="003F6B1C" w:rsidRDefault="00F2676D" w:rsidP="00F2676D">
            <w:pPr>
              <w:jc w:val="center"/>
              <w:rPr>
                <w:rFonts w:cs="Arial"/>
                <w:color w:val="auto"/>
                <w:sz w:val="22"/>
                <w:szCs w:val="22"/>
              </w:rPr>
            </w:pPr>
            <w:r w:rsidRPr="003F6B1C">
              <w:rPr>
                <w:rFonts w:cs="Arial"/>
                <w:color w:val="auto"/>
                <w:sz w:val="22"/>
                <w:szCs w:val="22"/>
              </w:rPr>
              <w:t>10</w:t>
            </w:r>
          </w:p>
        </w:tc>
        <w:tc>
          <w:tcPr>
            <w:tcW w:w="5124" w:type="dxa"/>
          </w:tcPr>
          <w:p w:rsidR="002D1E8A" w:rsidRPr="003F6B1C" w:rsidRDefault="00F2676D" w:rsidP="00F2676D">
            <w:pPr>
              <w:pStyle w:val="TableParagraph"/>
              <w:ind w:left="333"/>
              <w:jc w:val="left"/>
            </w:pPr>
            <w:r w:rsidRPr="003F6B1C">
              <w:t>Bullying</w:t>
            </w:r>
          </w:p>
        </w:tc>
        <w:tc>
          <w:tcPr>
            <w:tcW w:w="993" w:type="dxa"/>
          </w:tcPr>
          <w:p w:rsidR="002D1E8A" w:rsidRPr="006C7E41" w:rsidRDefault="002D1E8A" w:rsidP="00FD05B1">
            <w:pPr>
              <w:pStyle w:val="TableParagraph"/>
              <w:ind w:right="17"/>
            </w:pPr>
          </w:p>
        </w:tc>
        <w:tc>
          <w:tcPr>
            <w:tcW w:w="1113" w:type="dxa"/>
          </w:tcPr>
          <w:p w:rsidR="002D1E8A" w:rsidRPr="003F6B1C" w:rsidRDefault="002D1E8A" w:rsidP="00FD05B1">
            <w:pPr>
              <w:pStyle w:val="TableParagraph"/>
              <w:ind w:right="14"/>
              <w:rPr>
                <w:color w:val="FF0000"/>
              </w:rPr>
            </w:pPr>
          </w:p>
        </w:tc>
      </w:tr>
      <w:tr w:rsidR="000D024A" w:rsidRPr="003F6B1C" w:rsidTr="006C7E41">
        <w:trPr>
          <w:cantSplit/>
          <w:trHeight w:hRule="exact" w:val="264"/>
          <w:jc w:val="center"/>
        </w:trPr>
        <w:tc>
          <w:tcPr>
            <w:tcW w:w="1292" w:type="dxa"/>
          </w:tcPr>
          <w:p w:rsidR="002D1E8A" w:rsidRPr="003F6B1C" w:rsidRDefault="00F2676D" w:rsidP="00F2676D">
            <w:pPr>
              <w:jc w:val="center"/>
              <w:rPr>
                <w:rFonts w:cs="Arial"/>
                <w:color w:val="auto"/>
                <w:sz w:val="22"/>
                <w:szCs w:val="22"/>
              </w:rPr>
            </w:pPr>
            <w:r w:rsidRPr="003F6B1C">
              <w:rPr>
                <w:rFonts w:cs="Arial"/>
                <w:color w:val="auto"/>
                <w:sz w:val="22"/>
                <w:szCs w:val="22"/>
              </w:rPr>
              <w:t>11</w:t>
            </w:r>
          </w:p>
        </w:tc>
        <w:tc>
          <w:tcPr>
            <w:tcW w:w="5124" w:type="dxa"/>
          </w:tcPr>
          <w:p w:rsidR="002D1E8A" w:rsidRPr="003F6B1C" w:rsidRDefault="00F2676D" w:rsidP="00F2676D">
            <w:pPr>
              <w:pStyle w:val="TableParagraph"/>
              <w:ind w:left="333"/>
              <w:jc w:val="left"/>
            </w:pPr>
            <w:r w:rsidRPr="003F6B1C">
              <w:t>Impartiality</w:t>
            </w:r>
          </w:p>
        </w:tc>
        <w:tc>
          <w:tcPr>
            <w:tcW w:w="993" w:type="dxa"/>
          </w:tcPr>
          <w:p w:rsidR="002D1E8A" w:rsidRPr="006C7E41" w:rsidRDefault="006C7E41" w:rsidP="00FD05B1">
            <w:pPr>
              <w:pStyle w:val="TableParagraph"/>
              <w:ind w:right="17"/>
            </w:pPr>
            <w:r w:rsidRPr="006C7E41">
              <w:t>2</w:t>
            </w:r>
          </w:p>
        </w:tc>
        <w:tc>
          <w:tcPr>
            <w:tcW w:w="1113" w:type="dxa"/>
          </w:tcPr>
          <w:p w:rsidR="002D1E8A" w:rsidRPr="003F6B1C" w:rsidRDefault="002D1E8A" w:rsidP="00FD05B1">
            <w:pPr>
              <w:pStyle w:val="TableParagraph"/>
              <w:ind w:right="13"/>
              <w:rPr>
                <w:color w:val="FF0000"/>
              </w:rPr>
            </w:pPr>
          </w:p>
        </w:tc>
      </w:tr>
      <w:tr w:rsidR="000D024A" w:rsidRPr="003F6B1C" w:rsidTr="006C7E41">
        <w:trPr>
          <w:cantSplit/>
          <w:trHeight w:hRule="exact" w:val="262"/>
          <w:jc w:val="center"/>
        </w:trPr>
        <w:tc>
          <w:tcPr>
            <w:tcW w:w="1292" w:type="dxa"/>
          </w:tcPr>
          <w:p w:rsidR="002D1E8A" w:rsidRPr="003F6B1C" w:rsidRDefault="00F2676D" w:rsidP="00F2676D">
            <w:pPr>
              <w:jc w:val="center"/>
              <w:rPr>
                <w:rFonts w:cs="Arial"/>
                <w:color w:val="auto"/>
                <w:sz w:val="22"/>
                <w:szCs w:val="22"/>
              </w:rPr>
            </w:pPr>
            <w:r w:rsidRPr="003F6B1C">
              <w:rPr>
                <w:rFonts w:cs="Arial"/>
                <w:color w:val="auto"/>
                <w:sz w:val="22"/>
                <w:szCs w:val="22"/>
              </w:rPr>
              <w:t>12</w:t>
            </w:r>
          </w:p>
        </w:tc>
        <w:tc>
          <w:tcPr>
            <w:tcW w:w="5124" w:type="dxa"/>
          </w:tcPr>
          <w:p w:rsidR="002D1E8A" w:rsidRPr="003F6B1C" w:rsidRDefault="00F2676D" w:rsidP="00F2676D">
            <w:pPr>
              <w:pStyle w:val="TableParagraph"/>
              <w:ind w:left="333"/>
              <w:jc w:val="left"/>
            </w:pPr>
            <w:r w:rsidRPr="003F6B1C">
              <w:t>Confidential information</w:t>
            </w:r>
          </w:p>
        </w:tc>
        <w:tc>
          <w:tcPr>
            <w:tcW w:w="993" w:type="dxa"/>
          </w:tcPr>
          <w:p w:rsidR="002D1E8A" w:rsidRPr="003F6B1C" w:rsidRDefault="002D1E8A" w:rsidP="00FD05B1">
            <w:pPr>
              <w:pStyle w:val="TableParagraph"/>
              <w:ind w:right="17"/>
              <w:rPr>
                <w:color w:val="FF0000"/>
              </w:rPr>
            </w:pPr>
          </w:p>
        </w:tc>
        <w:tc>
          <w:tcPr>
            <w:tcW w:w="1113" w:type="dxa"/>
          </w:tcPr>
          <w:p w:rsidR="002D1E8A" w:rsidRPr="003F6B1C" w:rsidRDefault="002D1E8A" w:rsidP="00FD05B1">
            <w:pPr>
              <w:pStyle w:val="TableParagraph"/>
              <w:ind w:right="14"/>
              <w:rPr>
                <w:color w:val="FF0000"/>
              </w:rPr>
            </w:pPr>
          </w:p>
        </w:tc>
      </w:tr>
      <w:tr w:rsidR="000D024A" w:rsidRPr="003F6B1C" w:rsidTr="006C7E41">
        <w:trPr>
          <w:cantSplit/>
          <w:trHeight w:hRule="exact" w:val="264"/>
          <w:jc w:val="center"/>
        </w:trPr>
        <w:tc>
          <w:tcPr>
            <w:tcW w:w="1292" w:type="dxa"/>
          </w:tcPr>
          <w:p w:rsidR="002D1E8A" w:rsidRPr="003F6B1C" w:rsidRDefault="00F2676D" w:rsidP="00F2676D">
            <w:pPr>
              <w:jc w:val="center"/>
              <w:rPr>
                <w:rFonts w:cs="Arial"/>
                <w:color w:val="auto"/>
                <w:sz w:val="22"/>
                <w:szCs w:val="22"/>
              </w:rPr>
            </w:pPr>
            <w:r w:rsidRPr="003F6B1C">
              <w:rPr>
                <w:rFonts w:cs="Arial"/>
                <w:color w:val="auto"/>
                <w:sz w:val="22"/>
                <w:szCs w:val="22"/>
              </w:rPr>
              <w:t>13</w:t>
            </w:r>
          </w:p>
        </w:tc>
        <w:tc>
          <w:tcPr>
            <w:tcW w:w="5124" w:type="dxa"/>
          </w:tcPr>
          <w:p w:rsidR="002D1E8A" w:rsidRPr="003F6B1C" w:rsidRDefault="00F2676D" w:rsidP="00F2676D">
            <w:pPr>
              <w:pStyle w:val="TableParagraph"/>
              <w:ind w:left="333"/>
              <w:jc w:val="left"/>
            </w:pPr>
            <w:r w:rsidRPr="003F6B1C">
              <w:t>Knowledge</w:t>
            </w:r>
          </w:p>
        </w:tc>
        <w:tc>
          <w:tcPr>
            <w:tcW w:w="993" w:type="dxa"/>
          </w:tcPr>
          <w:p w:rsidR="002D1E8A" w:rsidRPr="003F6B1C" w:rsidRDefault="002D1E8A" w:rsidP="00FD05B1">
            <w:pPr>
              <w:pStyle w:val="TableParagraph"/>
              <w:ind w:right="17"/>
              <w:rPr>
                <w:color w:val="FF0000"/>
              </w:rPr>
            </w:pPr>
          </w:p>
        </w:tc>
        <w:tc>
          <w:tcPr>
            <w:tcW w:w="1113" w:type="dxa"/>
          </w:tcPr>
          <w:p w:rsidR="002D1E8A" w:rsidRPr="003F6B1C" w:rsidRDefault="002D1E8A" w:rsidP="00FD05B1">
            <w:pPr>
              <w:pStyle w:val="TableParagraph"/>
              <w:ind w:right="14"/>
              <w:rPr>
                <w:color w:val="FF0000"/>
              </w:rPr>
            </w:pPr>
          </w:p>
        </w:tc>
      </w:tr>
      <w:tr w:rsidR="000D024A" w:rsidRPr="003F6B1C" w:rsidTr="006C7E41">
        <w:trPr>
          <w:cantSplit/>
          <w:trHeight w:hRule="exact" w:val="262"/>
          <w:jc w:val="center"/>
        </w:trPr>
        <w:tc>
          <w:tcPr>
            <w:tcW w:w="1292" w:type="dxa"/>
          </w:tcPr>
          <w:p w:rsidR="002D1E8A" w:rsidRPr="003F6B1C" w:rsidRDefault="00F2676D" w:rsidP="00F2676D">
            <w:pPr>
              <w:jc w:val="center"/>
              <w:rPr>
                <w:rFonts w:cs="Arial"/>
                <w:color w:val="auto"/>
                <w:sz w:val="22"/>
                <w:szCs w:val="22"/>
              </w:rPr>
            </w:pPr>
            <w:r w:rsidRPr="003F6B1C">
              <w:rPr>
                <w:rFonts w:cs="Arial"/>
                <w:color w:val="auto"/>
                <w:sz w:val="22"/>
                <w:szCs w:val="22"/>
              </w:rPr>
              <w:t>14</w:t>
            </w:r>
          </w:p>
        </w:tc>
        <w:tc>
          <w:tcPr>
            <w:tcW w:w="5124" w:type="dxa"/>
          </w:tcPr>
          <w:p w:rsidR="002D1E8A" w:rsidRPr="003F6B1C" w:rsidRDefault="00F2676D" w:rsidP="00F2676D">
            <w:pPr>
              <w:pStyle w:val="TableParagraph"/>
              <w:ind w:left="333"/>
              <w:jc w:val="left"/>
            </w:pPr>
            <w:r w:rsidRPr="003F6B1C">
              <w:t>Professional advice</w:t>
            </w:r>
          </w:p>
        </w:tc>
        <w:tc>
          <w:tcPr>
            <w:tcW w:w="993" w:type="dxa"/>
          </w:tcPr>
          <w:p w:rsidR="002D1E8A" w:rsidRPr="003F6B1C" w:rsidRDefault="002D1E8A" w:rsidP="00FD05B1">
            <w:pPr>
              <w:pStyle w:val="TableParagraph"/>
              <w:ind w:right="17"/>
              <w:rPr>
                <w:color w:val="FF0000"/>
              </w:rPr>
            </w:pPr>
          </w:p>
        </w:tc>
        <w:tc>
          <w:tcPr>
            <w:tcW w:w="1113" w:type="dxa"/>
          </w:tcPr>
          <w:p w:rsidR="002D1E8A" w:rsidRPr="003F6B1C" w:rsidRDefault="00D04108" w:rsidP="00FD05B1">
            <w:pPr>
              <w:pStyle w:val="TableParagraph"/>
              <w:ind w:right="13"/>
              <w:rPr>
                <w:color w:val="FF0000"/>
              </w:rPr>
            </w:pPr>
            <w:r w:rsidRPr="00D04108">
              <w:t>1</w:t>
            </w:r>
          </w:p>
        </w:tc>
      </w:tr>
      <w:tr w:rsidR="000D024A" w:rsidRPr="003F6B1C" w:rsidTr="006C7E41">
        <w:trPr>
          <w:cantSplit/>
          <w:trHeight w:hRule="exact" w:val="264"/>
          <w:jc w:val="center"/>
        </w:trPr>
        <w:tc>
          <w:tcPr>
            <w:tcW w:w="1292" w:type="dxa"/>
          </w:tcPr>
          <w:p w:rsidR="002D1E8A" w:rsidRPr="003F6B1C" w:rsidRDefault="00F2676D" w:rsidP="00F2676D">
            <w:pPr>
              <w:jc w:val="center"/>
              <w:rPr>
                <w:rFonts w:cs="Arial"/>
                <w:color w:val="auto"/>
                <w:sz w:val="22"/>
                <w:szCs w:val="22"/>
              </w:rPr>
            </w:pPr>
            <w:r w:rsidRPr="003F6B1C">
              <w:rPr>
                <w:rFonts w:cs="Arial"/>
                <w:color w:val="auto"/>
                <w:sz w:val="22"/>
                <w:szCs w:val="22"/>
              </w:rPr>
              <w:t>15</w:t>
            </w:r>
          </w:p>
        </w:tc>
        <w:tc>
          <w:tcPr>
            <w:tcW w:w="5124" w:type="dxa"/>
          </w:tcPr>
          <w:p w:rsidR="002D1E8A" w:rsidRPr="003F6B1C" w:rsidRDefault="00F2676D" w:rsidP="00F2676D">
            <w:pPr>
              <w:pStyle w:val="TableParagraph"/>
              <w:spacing w:line="240" w:lineRule="auto"/>
              <w:ind w:left="333"/>
              <w:jc w:val="left"/>
            </w:pPr>
            <w:r w:rsidRPr="003F6B1C">
              <w:t>Council resources</w:t>
            </w:r>
          </w:p>
        </w:tc>
        <w:tc>
          <w:tcPr>
            <w:tcW w:w="993" w:type="dxa"/>
          </w:tcPr>
          <w:p w:rsidR="002D1E8A" w:rsidRPr="003F6B1C" w:rsidRDefault="002D1E8A" w:rsidP="00FD05B1">
            <w:pPr>
              <w:pStyle w:val="TableParagraph"/>
              <w:spacing w:line="240" w:lineRule="auto"/>
              <w:ind w:right="17"/>
              <w:rPr>
                <w:color w:val="FF0000"/>
              </w:rPr>
            </w:pPr>
          </w:p>
        </w:tc>
        <w:tc>
          <w:tcPr>
            <w:tcW w:w="1113" w:type="dxa"/>
          </w:tcPr>
          <w:p w:rsidR="002D1E8A" w:rsidRPr="003F6B1C" w:rsidRDefault="002D1E8A" w:rsidP="00FD05B1">
            <w:pPr>
              <w:pStyle w:val="TableParagraph"/>
              <w:spacing w:line="240" w:lineRule="auto"/>
              <w:ind w:right="13"/>
              <w:rPr>
                <w:color w:val="FF0000"/>
              </w:rPr>
            </w:pPr>
          </w:p>
        </w:tc>
      </w:tr>
      <w:tr w:rsidR="000D024A" w:rsidRPr="003F6B1C" w:rsidTr="006C7E41">
        <w:trPr>
          <w:cantSplit/>
          <w:trHeight w:hRule="exact" w:val="264"/>
          <w:jc w:val="center"/>
        </w:trPr>
        <w:tc>
          <w:tcPr>
            <w:tcW w:w="1292" w:type="dxa"/>
          </w:tcPr>
          <w:p w:rsidR="002D1E8A" w:rsidRPr="003F6B1C" w:rsidRDefault="00F2676D" w:rsidP="00F2676D">
            <w:pPr>
              <w:jc w:val="center"/>
              <w:rPr>
                <w:rFonts w:cs="Arial"/>
                <w:color w:val="auto"/>
                <w:sz w:val="22"/>
                <w:szCs w:val="22"/>
              </w:rPr>
            </w:pPr>
            <w:r w:rsidRPr="003F6B1C">
              <w:rPr>
                <w:rFonts w:cs="Arial"/>
                <w:color w:val="auto"/>
                <w:sz w:val="22"/>
                <w:szCs w:val="22"/>
              </w:rPr>
              <w:t>16 - 19</w:t>
            </w:r>
          </w:p>
        </w:tc>
        <w:tc>
          <w:tcPr>
            <w:tcW w:w="5124" w:type="dxa"/>
          </w:tcPr>
          <w:p w:rsidR="002D1E8A" w:rsidRPr="003F6B1C" w:rsidRDefault="00D04108" w:rsidP="00F2676D">
            <w:pPr>
              <w:pStyle w:val="TableParagraph"/>
              <w:ind w:left="333"/>
              <w:jc w:val="left"/>
            </w:pPr>
            <w:r>
              <w:t>R</w:t>
            </w:r>
            <w:r w:rsidR="00F2676D" w:rsidRPr="003F6B1C">
              <w:t>egistering and declaring interests</w:t>
            </w:r>
          </w:p>
        </w:tc>
        <w:tc>
          <w:tcPr>
            <w:tcW w:w="993" w:type="dxa"/>
          </w:tcPr>
          <w:p w:rsidR="002D1E8A" w:rsidRPr="003F6B1C" w:rsidRDefault="002D1E8A" w:rsidP="00FD05B1">
            <w:pPr>
              <w:pStyle w:val="TableParagraph"/>
              <w:ind w:right="18"/>
              <w:rPr>
                <w:color w:val="FF0000"/>
              </w:rPr>
            </w:pPr>
          </w:p>
        </w:tc>
        <w:tc>
          <w:tcPr>
            <w:tcW w:w="1113" w:type="dxa"/>
          </w:tcPr>
          <w:p w:rsidR="002D1E8A" w:rsidRPr="003F6B1C" w:rsidRDefault="002D1E8A" w:rsidP="00FD05B1">
            <w:pPr>
              <w:pStyle w:val="TableParagraph"/>
              <w:ind w:right="14"/>
              <w:rPr>
                <w:color w:val="FF0000"/>
              </w:rPr>
            </w:pPr>
          </w:p>
        </w:tc>
      </w:tr>
      <w:tr w:rsidR="00CF5FC2" w:rsidRPr="003F6B1C" w:rsidTr="000522BC">
        <w:trPr>
          <w:cantSplit/>
          <w:trHeight w:hRule="exact" w:val="715"/>
          <w:jc w:val="center"/>
        </w:trPr>
        <w:tc>
          <w:tcPr>
            <w:tcW w:w="8522" w:type="dxa"/>
            <w:gridSpan w:val="4"/>
          </w:tcPr>
          <w:p w:rsidR="00CF5FC2" w:rsidRPr="003F6B1C" w:rsidRDefault="00CF5FC2" w:rsidP="00CF5FC2">
            <w:pPr>
              <w:spacing w:before="120" w:after="0"/>
              <w:ind w:left="159" w:right="57" w:firstLine="6"/>
              <w:rPr>
                <w:rFonts w:cs="Arial"/>
                <w:color w:val="auto"/>
                <w:sz w:val="22"/>
                <w:szCs w:val="22"/>
              </w:rPr>
            </w:pPr>
            <w:r w:rsidRPr="003F6B1C">
              <w:rPr>
                <w:rFonts w:cs="Arial"/>
                <w:color w:val="auto"/>
                <w:sz w:val="22"/>
                <w:szCs w:val="22"/>
              </w:rPr>
              <w:t xml:space="preserve">Note: the numbers may not tally with the number of complaints received as a </w:t>
            </w:r>
            <w:r w:rsidR="006C7E41">
              <w:rPr>
                <w:rFonts w:cs="Arial"/>
                <w:color w:val="auto"/>
                <w:sz w:val="22"/>
                <w:szCs w:val="22"/>
              </w:rPr>
              <w:t>c</w:t>
            </w:r>
            <w:r w:rsidRPr="003F6B1C">
              <w:rPr>
                <w:rFonts w:cs="Arial"/>
                <w:color w:val="auto"/>
                <w:sz w:val="22"/>
                <w:szCs w:val="22"/>
              </w:rPr>
              <w:t>omplainant may identify none or more than one paragraph in their complaint.</w:t>
            </w:r>
          </w:p>
          <w:p w:rsidR="00CF5FC2" w:rsidRPr="003F6B1C" w:rsidRDefault="00CF5FC2" w:rsidP="00FD05B1">
            <w:pPr>
              <w:pStyle w:val="TableParagraph"/>
              <w:ind w:right="14"/>
              <w:rPr>
                <w:color w:val="FF0000"/>
              </w:rPr>
            </w:pPr>
          </w:p>
        </w:tc>
      </w:tr>
    </w:tbl>
    <w:p w:rsidR="000522BC" w:rsidRPr="000522BC" w:rsidRDefault="000522BC" w:rsidP="000522BC">
      <w:pPr>
        <w:tabs>
          <w:tab w:val="left" w:pos="1260"/>
          <w:tab w:val="left" w:pos="1261"/>
        </w:tabs>
        <w:spacing w:after="0"/>
        <w:rPr>
          <w:color w:val="FF0000"/>
        </w:rPr>
      </w:pPr>
    </w:p>
    <w:p w:rsidR="002D1E8A" w:rsidRDefault="005A1081" w:rsidP="006C7E41">
      <w:pPr>
        <w:pStyle w:val="ListParagraph"/>
        <w:numPr>
          <w:ilvl w:val="0"/>
          <w:numId w:val="6"/>
        </w:numPr>
        <w:tabs>
          <w:tab w:val="left" w:pos="1260"/>
          <w:tab w:val="left" w:pos="1261"/>
        </w:tabs>
        <w:spacing w:after="0"/>
        <w:ind w:left="357" w:hanging="357"/>
        <w:rPr>
          <w:color w:val="auto"/>
        </w:rPr>
      </w:pPr>
      <w:r>
        <w:rPr>
          <w:color w:val="auto"/>
        </w:rPr>
        <w:t xml:space="preserve">The Monitoring Officer, in consultation with the Independent Person(s), </w:t>
      </w:r>
      <w:r w:rsidR="008A1A43">
        <w:rPr>
          <w:color w:val="auto"/>
        </w:rPr>
        <w:t>considered</w:t>
      </w:r>
      <w:r w:rsidR="00355F8D">
        <w:rPr>
          <w:color w:val="auto"/>
        </w:rPr>
        <w:t xml:space="preserve"> </w:t>
      </w:r>
      <w:r w:rsidR="008A1A43">
        <w:rPr>
          <w:color w:val="auto"/>
        </w:rPr>
        <w:t xml:space="preserve">each of </w:t>
      </w:r>
      <w:r w:rsidR="00355F8D">
        <w:rPr>
          <w:color w:val="auto"/>
        </w:rPr>
        <w:t>the two complaints against the Oxford City Council</w:t>
      </w:r>
      <w:r w:rsidR="00625392">
        <w:rPr>
          <w:color w:val="auto"/>
        </w:rPr>
        <w:t>lors</w:t>
      </w:r>
      <w:r w:rsidR="00355F8D">
        <w:rPr>
          <w:color w:val="auto"/>
        </w:rPr>
        <w:t xml:space="preserve">. The second complaint against </w:t>
      </w:r>
      <w:r>
        <w:rPr>
          <w:color w:val="auto"/>
        </w:rPr>
        <w:t>m</w:t>
      </w:r>
      <w:r w:rsidR="00355F8D">
        <w:rPr>
          <w:color w:val="auto"/>
        </w:rPr>
        <w:t xml:space="preserve">embers of a </w:t>
      </w:r>
      <w:r>
        <w:rPr>
          <w:color w:val="auto"/>
        </w:rPr>
        <w:t>p</w:t>
      </w:r>
      <w:r w:rsidR="00355F8D">
        <w:rPr>
          <w:color w:val="auto"/>
        </w:rPr>
        <w:t xml:space="preserve">arish </w:t>
      </w:r>
      <w:r>
        <w:rPr>
          <w:color w:val="auto"/>
        </w:rPr>
        <w:t>c</w:t>
      </w:r>
      <w:r w:rsidR="00355F8D">
        <w:rPr>
          <w:color w:val="auto"/>
        </w:rPr>
        <w:t xml:space="preserve">ouncil </w:t>
      </w:r>
      <w:r w:rsidR="00E017EE">
        <w:rPr>
          <w:color w:val="auto"/>
        </w:rPr>
        <w:t>is still active</w:t>
      </w:r>
      <w:r w:rsidR="00323A9E">
        <w:rPr>
          <w:color w:val="auto"/>
        </w:rPr>
        <w:t xml:space="preserve"> and further information is required before this can be assessed.</w:t>
      </w:r>
      <w:r w:rsidR="00E017EE">
        <w:rPr>
          <w:color w:val="auto"/>
        </w:rPr>
        <w:t xml:space="preserve"> </w:t>
      </w:r>
      <w:r w:rsidR="002D1E8A" w:rsidRPr="000522BC">
        <w:rPr>
          <w:color w:val="auto"/>
        </w:rPr>
        <w:t xml:space="preserve">The decision of the </w:t>
      </w:r>
      <w:r w:rsidR="006928D1" w:rsidRPr="000522BC">
        <w:rPr>
          <w:color w:val="auto"/>
        </w:rPr>
        <w:t>Monitoring Officer</w:t>
      </w:r>
      <w:r w:rsidR="00D04108">
        <w:rPr>
          <w:color w:val="auto"/>
        </w:rPr>
        <w:t xml:space="preserve">, </w:t>
      </w:r>
      <w:r>
        <w:rPr>
          <w:color w:val="auto"/>
        </w:rPr>
        <w:t>following</w:t>
      </w:r>
      <w:r w:rsidR="00D04108">
        <w:rPr>
          <w:color w:val="auto"/>
        </w:rPr>
        <w:t xml:space="preserve"> consultation with the Independent Person</w:t>
      </w:r>
      <w:r w:rsidR="008A1A43">
        <w:rPr>
          <w:color w:val="auto"/>
        </w:rPr>
        <w:t>(s)</w:t>
      </w:r>
      <w:r w:rsidR="00D04108">
        <w:rPr>
          <w:color w:val="auto"/>
        </w:rPr>
        <w:t>,</w:t>
      </w:r>
      <w:r w:rsidR="00CF5FC2" w:rsidRPr="000522BC">
        <w:rPr>
          <w:color w:val="auto"/>
        </w:rPr>
        <w:t xml:space="preserve"> </w:t>
      </w:r>
      <w:r w:rsidR="002D1E8A" w:rsidRPr="000522BC">
        <w:rPr>
          <w:color w:val="auto"/>
        </w:rPr>
        <w:t>was:</w:t>
      </w:r>
    </w:p>
    <w:p w:rsidR="009D5E38" w:rsidRDefault="009D5E38" w:rsidP="009D5E38">
      <w:pPr>
        <w:tabs>
          <w:tab w:val="left" w:pos="1260"/>
          <w:tab w:val="left" w:pos="1261"/>
        </w:tabs>
        <w:spacing w:after="0"/>
        <w:rPr>
          <w:color w:val="auto"/>
        </w:rPr>
      </w:pPr>
    </w:p>
    <w:p w:rsidR="009D5E38" w:rsidRPr="009D5E38" w:rsidRDefault="009D5E38" w:rsidP="009D5E38">
      <w:pPr>
        <w:tabs>
          <w:tab w:val="left" w:pos="1260"/>
          <w:tab w:val="left" w:pos="1261"/>
        </w:tabs>
        <w:spacing w:after="0"/>
        <w:rPr>
          <w:color w:val="auto"/>
        </w:rPr>
      </w:pPr>
    </w:p>
    <w:p w:rsidR="002D1E8A" w:rsidRPr="000D024A" w:rsidRDefault="002D1E8A" w:rsidP="002D1E8A">
      <w:pPr>
        <w:pStyle w:val="BodyText"/>
        <w:spacing w:before="8"/>
        <w:rPr>
          <w:color w:val="FF0000"/>
          <w:sz w:val="20"/>
        </w:rPr>
      </w:pPr>
    </w:p>
    <w:tbl>
      <w:tblPr>
        <w:tblW w:w="850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572"/>
        <w:gridCol w:w="5090"/>
        <w:gridCol w:w="709"/>
        <w:gridCol w:w="1134"/>
      </w:tblGrid>
      <w:tr w:rsidR="000522BC" w:rsidRPr="000D024A" w:rsidTr="00C7197F">
        <w:trPr>
          <w:cantSplit/>
          <w:trHeight w:hRule="exact" w:val="342"/>
        </w:trPr>
        <w:tc>
          <w:tcPr>
            <w:tcW w:w="6662" w:type="dxa"/>
            <w:gridSpan w:val="2"/>
          </w:tcPr>
          <w:p w:rsidR="000522BC" w:rsidRPr="000522BC" w:rsidRDefault="000522BC" w:rsidP="00C7197F">
            <w:pPr>
              <w:pStyle w:val="TableParagraph"/>
              <w:ind w:left="103"/>
              <w:jc w:val="left"/>
              <w:rPr>
                <w:b/>
              </w:rPr>
            </w:pPr>
            <w:r w:rsidRPr="000522BC">
              <w:rPr>
                <w:b/>
              </w:rPr>
              <w:t xml:space="preserve">Action </w:t>
            </w:r>
          </w:p>
        </w:tc>
        <w:tc>
          <w:tcPr>
            <w:tcW w:w="709" w:type="dxa"/>
          </w:tcPr>
          <w:p w:rsidR="000522BC" w:rsidRPr="000522BC" w:rsidRDefault="000522BC" w:rsidP="00C7197F">
            <w:pPr>
              <w:pStyle w:val="TableParagraph"/>
              <w:ind w:left="84" w:right="83"/>
              <w:rPr>
                <w:b/>
              </w:rPr>
            </w:pPr>
            <w:r w:rsidRPr="000522BC">
              <w:rPr>
                <w:b/>
              </w:rPr>
              <w:t>City</w:t>
            </w:r>
          </w:p>
        </w:tc>
        <w:tc>
          <w:tcPr>
            <w:tcW w:w="1134" w:type="dxa"/>
          </w:tcPr>
          <w:p w:rsidR="000522BC" w:rsidRPr="000522BC" w:rsidRDefault="000522BC" w:rsidP="00C7197F">
            <w:pPr>
              <w:pStyle w:val="TableParagraph"/>
              <w:spacing w:line="242" w:lineRule="auto"/>
              <w:ind w:left="122" w:right="105" w:firstLine="43"/>
              <w:rPr>
                <w:b/>
              </w:rPr>
            </w:pPr>
            <w:r w:rsidRPr="000522BC">
              <w:rPr>
                <w:b/>
              </w:rPr>
              <w:t>Parish</w:t>
            </w:r>
          </w:p>
        </w:tc>
      </w:tr>
      <w:tr w:rsidR="000522BC" w:rsidRPr="000522BC" w:rsidTr="00C7197F">
        <w:trPr>
          <w:cantSplit/>
          <w:trHeight w:hRule="exact" w:val="558"/>
        </w:trPr>
        <w:tc>
          <w:tcPr>
            <w:tcW w:w="1572" w:type="dxa"/>
          </w:tcPr>
          <w:p w:rsidR="00514771" w:rsidRPr="000522BC" w:rsidRDefault="00514771" w:rsidP="00C7197F">
            <w:pPr>
              <w:pStyle w:val="TableParagraph"/>
              <w:ind w:left="103"/>
              <w:jc w:val="left"/>
              <w:rPr>
                <w:b/>
              </w:rPr>
            </w:pPr>
            <w:r w:rsidRPr="00514771">
              <w:rPr>
                <w:b/>
              </w:rPr>
              <w:t>No action</w:t>
            </w:r>
          </w:p>
        </w:tc>
        <w:tc>
          <w:tcPr>
            <w:tcW w:w="5090" w:type="dxa"/>
          </w:tcPr>
          <w:p w:rsidR="00514771" w:rsidRPr="000522BC" w:rsidRDefault="00514771" w:rsidP="00C7197F">
            <w:pPr>
              <w:pStyle w:val="TableParagraph"/>
              <w:ind w:left="103"/>
              <w:jc w:val="left"/>
            </w:pPr>
            <w:r w:rsidRPr="00514771">
              <w:t xml:space="preserve">no </w:t>
            </w:r>
            <w:r w:rsidRPr="000522BC">
              <w:t xml:space="preserve">further </w:t>
            </w:r>
            <w:r w:rsidRPr="00514771">
              <w:t xml:space="preserve">action should be taken in respect of the </w:t>
            </w:r>
            <w:r w:rsidRPr="000522BC">
              <w:t>alleg</w:t>
            </w:r>
            <w:r w:rsidRPr="00514771">
              <w:t>ation</w:t>
            </w:r>
          </w:p>
        </w:tc>
        <w:tc>
          <w:tcPr>
            <w:tcW w:w="709" w:type="dxa"/>
          </w:tcPr>
          <w:p w:rsidR="00514771" w:rsidRPr="000522BC" w:rsidRDefault="006C7E41" w:rsidP="00C7197F">
            <w:pPr>
              <w:pStyle w:val="TableParagraph"/>
            </w:pPr>
            <w:r>
              <w:t>1</w:t>
            </w:r>
          </w:p>
        </w:tc>
        <w:tc>
          <w:tcPr>
            <w:tcW w:w="1134" w:type="dxa"/>
          </w:tcPr>
          <w:p w:rsidR="00514771" w:rsidRPr="000522BC" w:rsidRDefault="00625392" w:rsidP="00C7197F">
            <w:pPr>
              <w:pStyle w:val="TableParagraph"/>
            </w:pPr>
            <w:r>
              <w:t>0</w:t>
            </w:r>
          </w:p>
        </w:tc>
      </w:tr>
      <w:tr w:rsidR="000522BC" w:rsidRPr="000522BC" w:rsidTr="00355F8D">
        <w:trPr>
          <w:cantSplit/>
          <w:trHeight w:val="591"/>
        </w:trPr>
        <w:tc>
          <w:tcPr>
            <w:tcW w:w="1572" w:type="dxa"/>
          </w:tcPr>
          <w:p w:rsidR="00514771" w:rsidRPr="000522BC" w:rsidRDefault="00514771" w:rsidP="00C7197F">
            <w:pPr>
              <w:pStyle w:val="TableParagraph"/>
              <w:spacing w:line="240" w:lineRule="auto"/>
              <w:ind w:left="103"/>
              <w:jc w:val="left"/>
              <w:rPr>
                <w:b/>
              </w:rPr>
            </w:pPr>
            <w:r w:rsidRPr="000522BC">
              <w:rPr>
                <w:b/>
              </w:rPr>
              <w:t>Informal resolution</w:t>
            </w:r>
          </w:p>
        </w:tc>
        <w:tc>
          <w:tcPr>
            <w:tcW w:w="5090" w:type="dxa"/>
          </w:tcPr>
          <w:p w:rsidR="00514771" w:rsidRPr="000522BC" w:rsidRDefault="00514771" w:rsidP="00C7197F">
            <w:pPr>
              <w:pStyle w:val="TableParagraph"/>
              <w:spacing w:line="240" w:lineRule="auto"/>
              <w:ind w:left="103"/>
              <w:jc w:val="left"/>
            </w:pPr>
            <w:r w:rsidRPr="000522BC">
              <w:t>Referred to the Monitoring Officer and/or Group Leader for informal resolution</w:t>
            </w:r>
          </w:p>
        </w:tc>
        <w:tc>
          <w:tcPr>
            <w:tcW w:w="709" w:type="dxa"/>
          </w:tcPr>
          <w:p w:rsidR="00514771" w:rsidRPr="000522BC" w:rsidRDefault="006C7E41" w:rsidP="00C7197F">
            <w:pPr>
              <w:pStyle w:val="TableParagraph"/>
              <w:spacing w:line="240" w:lineRule="auto"/>
            </w:pPr>
            <w:r>
              <w:t>0</w:t>
            </w:r>
          </w:p>
        </w:tc>
        <w:tc>
          <w:tcPr>
            <w:tcW w:w="1134" w:type="dxa"/>
          </w:tcPr>
          <w:p w:rsidR="00514771" w:rsidRPr="000522BC" w:rsidRDefault="00625392" w:rsidP="00C7197F">
            <w:pPr>
              <w:pStyle w:val="TableParagraph"/>
              <w:spacing w:line="240" w:lineRule="auto"/>
            </w:pPr>
            <w:r>
              <w:t>0</w:t>
            </w:r>
          </w:p>
        </w:tc>
      </w:tr>
      <w:tr w:rsidR="000522BC" w:rsidRPr="000522BC" w:rsidTr="00625392">
        <w:trPr>
          <w:cantSplit/>
          <w:trHeight w:hRule="exact" w:val="476"/>
        </w:trPr>
        <w:tc>
          <w:tcPr>
            <w:tcW w:w="1572" w:type="dxa"/>
          </w:tcPr>
          <w:p w:rsidR="00514771" w:rsidRPr="000522BC" w:rsidRDefault="00514771" w:rsidP="00C7197F">
            <w:pPr>
              <w:pStyle w:val="TableParagraph"/>
              <w:tabs>
                <w:tab w:val="left" w:pos="563"/>
                <w:tab w:val="left" w:pos="1009"/>
                <w:tab w:val="left" w:pos="1981"/>
                <w:tab w:val="left" w:pos="2919"/>
                <w:tab w:val="left" w:pos="4147"/>
                <w:tab w:val="left" w:pos="5456"/>
              </w:tabs>
              <w:spacing w:line="252" w:lineRule="exact"/>
              <w:ind w:left="103" w:right="102"/>
              <w:jc w:val="left"/>
              <w:rPr>
                <w:b/>
              </w:rPr>
            </w:pPr>
            <w:r w:rsidRPr="000522BC">
              <w:rPr>
                <w:b/>
              </w:rPr>
              <w:t>Investigation</w:t>
            </w:r>
          </w:p>
        </w:tc>
        <w:tc>
          <w:tcPr>
            <w:tcW w:w="5090" w:type="dxa"/>
          </w:tcPr>
          <w:p w:rsidR="00514771" w:rsidRPr="000522BC" w:rsidRDefault="000522BC" w:rsidP="00C7197F">
            <w:pPr>
              <w:pStyle w:val="TableParagraph"/>
              <w:tabs>
                <w:tab w:val="left" w:pos="563"/>
                <w:tab w:val="left" w:pos="1009"/>
                <w:tab w:val="left" w:pos="1981"/>
                <w:tab w:val="left" w:pos="2919"/>
                <w:tab w:val="left" w:pos="4147"/>
                <w:tab w:val="left" w:pos="5456"/>
              </w:tabs>
              <w:spacing w:line="252" w:lineRule="exact"/>
              <w:ind w:left="103" w:right="102"/>
              <w:jc w:val="left"/>
            </w:pPr>
            <w:r w:rsidRPr="000522BC">
              <w:t>R</w:t>
            </w:r>
            <w:r w:rsidR="00514771" w:rsidRPr="000522BC">
              <w:t>eferred</w:t>
            </w:r>
            <w:r w:rsidR="00514771" w:rsidRPr="000522BC">
              <w:tab/>
              <w:t>for</w:t>
            </w:r>
            <w:r w:rsidRPr="000522BC">
              <w:t xml:space="preserve"> formal</w:t>
            </w:r>
            <w:r w:rsidR="00323A9E">
              <w:t xml:space="preserve"> external</w:t>
            </w:r>
            <w:r w:rsidRPr="000522BC">
              <w:t xml:space="preserve"> </w:t>
            </w:r>
            <w:r w:rsidR="00514771" w:rsidRPr="000522BC">
              <w:t>investigation</w:t>
            </w:r>
            <w:r w:rsidRPr="000522BC">
              <w:t xml:space="preserve"> </w:t>
            </w:r>
          </w:p>
        </w:tc>
        <w:tc>
          <w:tcPr>
            <w:tcW w:w="709" w:type="dxa"/>
          </w:tcPr>
          <w:p w:rsidR="00514771" w:rsidRPr="000522BC" w:rsidRDefault="006C7E41" w:rsidP="00C7197F">
            <w:pPr>
              <w:pStyle w:val="TableParagraph"/>
            </w:pPr>
            <w:r>
              <w:t>1</w:t>
            </w:r>
          </w:p>
        </w:tc>
        <w:tc>
          <w:tcPr>
            <w:tcW w:w="1134" w:type="dxa"/>
          </w:tcPr>
          <w:p w:rsidR="00514771" w:rsidRPr="000522BC" w:rsidRDefault="006C7E41" w:rsidP="00C7197F">
            <w:pPr>
              <w:pStyle w:val="TableParagraph"/>
            </w:pPr>
            <w:r>
              <w:t>0</w:t>
            </w:r>
          </w:p>
        </w:tc>
      </w:tr>
      <w:tr w:rsidR="000522BC" w:rsidRPr="000522BC" w:rsidTr="00C7197F">
        <w:trPr>
          <w:cantSplit/>
          <w:trHeight w:hRule="exact" w:val="341"/>
        </w:trPr>
        <w:tc>
          <w:tcPr>
            <w:tcW w:w="1572" w:type="dxa"/>
          </w:tcPr>
          <w:p w:rsidR="00514771" w:rsidRPr="000522BC" w:rsidRDefault="00514771" w:rsidP="00C7197F">
            <w:pPr>
              <w:pStyle w:val="TableParagraph"/>
              <w:ind w:left="103"/>
              <w:jc w:val="left"/>
              <w:rPr>
                <w:b/>
              </w:rPr>
            </w:pPr>
            <w:r w:rsidRPr="000522BC">
              <w:rPr>
                <w:b/>
              </w:rPr>
              <w:t>Referral</w:t>
            </w:r>
          </w:p>
        </w:tc>
        <w:tc>
          <w:tcPr>
            <w:tcW w:w="5090" w:type="dxa"/>
          </w:tcPr>
          <w:p w:rsidR="00514771" w:rsidRPr="000522BC" w:rsidRDefault="00514771" w:rsidP="00C7197F">
            <w:pPr>
              <w:pStyle w:val="TableParagraph"/>
              <w:ind w:left="103"/>
              <w:jc w:val="left"/>
            </w:pPr>
            <w:r w:rsidRPr="000522BC">
              <w:t xml:space="preserve">Referred to the </w:t>
            </w:r>
            <w:r w:rsidR="006C7E41">
              <w:t>p</w:t>
            </w:r>
            <w:r w:rsidRPr="000522BC">
              <w:t>olice or other regulatory agency</w:t>
            </w:r>
          </w:p>
        </w:tc>
        <w:tc>
          <w:tcPr>
            <w:tcW w:w="709" w:type="dxa"/>
          </w:tcPr>
          <w:p w:rsidR="00514771" w:rsidRPr="000522BC" w:rsidRDefault="006C7E41" w:rsidP="00C7197F">
            <w:pPr>
              <w:pStyle w:val="TableParagraph"/>
            </w:pPr>
            <w:r>
              <w:t>0</w:t>
            </w:r>
          </w:p>
        </w:tc>
        <w:tc>
          <w:tcPr>
            <w:tcW w:w="1134" w:type="dxa"/>
          </w:tcPr>
          <w:p w:rsidR="00514771" w:rsidRPr="000522BC" w:rsidRDefault="006C7E41" w:rsidP="00C7197F">
            <w:pPr>
              <w:pStyle w:val="TableParagraph"/>
            </w:pPr>
            <w:r>
              <w:t>0</w:t>
            </w:r>
          </w:p>
        </w:tc>
      </w:tr>
    </w:tbl>
    <w:p w:rsidR="00376BF2" w:rsidRDefault="00376BF2" w:rsidP="00376BF2">
      <w:pPr>
        <w:spacing w:after="0"/>
        <w:rPr>
          <w:color w:val="auto"/>
        </w:rPr>
      </w:pPr>
    </w:p>
    <w:p w:rsidR="00532D0F" w:rsidRPr="00532D0F" w:rsidRDefault="00532D0F" w:rsidP="00532D0F">
      <w:pPr>
        <w:pStyle w:val="ListParagraph"/>
        <w:numPr>
          <w:ilvl w:val="0"/>
          <w:numId w:val="6"/>
        </w:numPr>
        <w:spacing w:after="0"/>
        <w:rPr>
          <w:color w:val="auto"/>
        </w:rPr>
      </w:pPr>
      <w:r>
        <w:rPr>
          <w:color w:val="auto"/>
        </w:rPr>
        <w:t>No common issues or learning points were identified in relation to these two complaints.</w:t>
      </w:r>
    </w:p>
    <w:p w:rsidR="00CF5FC2" w:rsidRPr="002D1E8A" w:rsidRDefault="00CF5FC2" w:rsidP="00376BF2">
      <w:pPr>
        <w:spacing w:after="0"/>
        <w:rPr>
          <w:color w:val="00B050"/>
        </w:rPr>
      </w:pPr>
    </w:p>
    <w:p w:rsidR="00E302F1" w:rsidRPr="008D6BB2" w:rsidRDefault="00E302F1" w:rsidP="008D6BB2">
      <w:pPr>
        <w:ind w:left="-6"/>
        <w:rPr>
          <w:b/>
          <w:color w:val="auto"/>
        </w:rPr>
      </w:pPr>
      <w:r w:rsidRPr="008D6BB2">
        <w:rPr>
          <w:b/>
          <w:color w:val="auto"/>
        </w:rPr>
        <w:t>Legal implications</w:t>
      </w:r>
    </w:p>
    <w:p w:rsidR="008D6BB2" w:rsidRPr="00121CF0" w:rsidRDefault="002D1E8A" w:rsidP="002D1E8A">
      <w:pPr>
        <w:pStyle w:val="ListParagraph"/>
        <w:numPr>
          <w:ilvl w:val="0"/>
          <w:numId w:val="6"/>
        </w:numPr>
        <w:spacing w:after="0"/>
        <w:rPr>
          <w:color w:val="auto"/>
        </w:rPr>
      </w:pPr>
      <w:r w:rsidRPr="002D1E8A">
        <w:rPr>
          <w:color w:val="auto"/>
        </w:rPr>
        <w:t>The Localism Act 2011 requires the Council to have a Code of Conduct which sets out the standards expected of Members whenever they act in their official capacity. The Code must also have in place a suitable procedure at a local level to investigate and determine allegations against elected Members and co-opted Members. The Council is also responsible for having arrangements in place to investigate and determine allegations against Parish Councillors.</w:t>
      </w:r>
    </w:p>
    <w:p w:rsidR="009153D7" w:rsidRPr="00121CF0" w:rsidRDefault="009153D7" w:rsidP="009153D7">
      <w:pPr>
        <w:spacing w:after="0"/>
        <w:rPr>
          <w:color w:val="auto"/>
        </w:rPr>
      </w:pPr>
    </w:p>
    <w:p w:rsidR="009153D7" w:rsidRPr="00121CF0" w:rsidRDefault="009153D7" w:rsidP="009153D7">
      <w:pPr>
        <w:rPr>
          <w:b/>
          <w:color w:val="auto"/>
        </w:rPr>
      </w:pPr>
      <w:r w:rsidRPr="00121CF0">
        <w:rPr>
          <w:b/>
          <w:color w:val="auto"/>
        </w:rPr>
        <w:t>Financial implications</w:t>
      </w:r>
    </w:p>
    <w:p w:rsidR="009153D7" w:rsidRPr="00121CF0" w:rsidRDefault="002D1E8A" w:rsidP="002D1E8A">
      <w:pPr>
        <w:pStyle w:val="ListParagraph"/>
        <w:numPr>
          <w:ilvl w:val="0"/>
          <w:numId w:val="6"/>
        </w:numPr>
        <w:spacing w:after="0"/>
        <w:rPr>
          <w:color w:val="auto"/>
        </w:rPr>
      </w:pPr>
      <w:r w:rsidRPr="002D1E8A">
        <w:rPr>
          <w:color w:val="auto"/>
        </w:rPr>
        <w:t>There is a cost to the authority when a complaint is referred for external investigation this is determined by market factors in terms of the availability of investigators identified through complaint procurement processes.</w:t>
      </w:r>
    </w:p>
    <w:p w:rsidR="004E3B9B" w:rsidRPr="00121CF0" w:rsidRDefault="004E3B9B" w:rsidP="00B534F4">
      <w:pPr>
        <w:spacing w:after="0"/>
        <w:rPr>
          <w:color w:val="auto"/>
        </w:rPr>
      </w:pPr>
    </w:p>
    <w:p w:rsidR="00E302F1" w:rsidRPr="00121CF0" w:rsidRDefault="00E302F1" w:rsidP="00E302F1">
      <w:pPr>
        <w:rPr>
          <w:b/>
          <w:color w:val="auto"/>
        </w:rPr>
      </w:pPr>
      <w:r w:rsidRPr="00121CF0">
        <w:rPr>
          <w:b/>
          <w:color w:val="auto"/>
        </w:rPr>
        <w:t>Risk management</w:t>
      </w:r>
    </w:p>
    <w:p w:rsidR="00121CF0" w:rsidRPr="00121CF0" w:rsidRDefault="002D1E8A" w:rsidP="002D1E8A">
      <w:pPr>
        <w:pStyle w:val="ListParagraph"/>
        <w:numPr>
          <w:ilvl w:val="0"/>
          <w:numId w:val="6"/>
        </w:numPr>
        <w:spacing w:after="0"/>
        <w:rPr>
          <w:color w:val="auto"/>
        </w:rPr>
      </w:pPr>
      <w:r w:rsidRPr="002D1E8A">
        <w:rPr>
          <w:color w:val="auto"/>
        </w:rPr>
        <w:t>If the Council fails to adopt and maintain a Code of Conduct and process for the investigation of complaints which is fit for purpose, robust and transparent then there are risks to the Council’s reputation and also to the integrity of its corporate governance and decision-making processes</w:t>
      </w:r>
      <w:r w:rsidR="00323A9E">
        <w:rPr>
          <w:color w:val="auto"/>
        </w:rPr>
        <w:t xml:space="preserve"> as it will not be compliant with legislation.</w:t>
      </w: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DC091B" w:rsidP="00A46E98">
            <w:r>
              <w:t>Catherine Phythian</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6E1EF9" w:rsidP="00A46E98">
            <w:r>
              <w:t>Committee and Members Services Officer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6E1EF9" w:rsidP="00A46E98">
            <w:r>
              <w:t>Law and Governance</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DC091B">
            <w:r w:rsidRPr="001356F1">
              <w:t xml:space="preserve">01865 </w:t>
            </w:r>
            <w:r w:rsidR="006E1EF9">
              <w:t>25</w:t>
            </w:r>
            <w:r w:rsidR="00DC091B">
              <w:t>2402</w:t>
            </w:r>
            <w:r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5B1092" w:rsidP="00DC091B">
            <w:pPr>
              <w:rPr>
                <w:rStyle w:val="Hyperlink"/>
                <w:color w:val="000000"/>
              </w:rPr>
            </w:pPr>
            <w:hyperlink r:id="rId9" w:history="1">
              <w:r w:rsidR="00DC091B" w:rsidRPr="008839AF">
                <w:rPr>
                  <w:rStyle w:val="Hyperlink"/>
                </w:rPr>
                <w:t>cphythian@oxford.gov.uk</w:t>
              </w:r>
            </w:hyperlink>
            <w:r w:rsidR="006E1EF9">
              <w:rPr>
                <w:rStyle w:val="Hyperlink"/>
                <w:color w:val="000000"/>
              </w:rPr>
              <w:t xml:space="preserve"> </w:t>
            </w:r>
          </w:p>
        </w:tc>
      </w:tr>
    </w:tbl>
    <w:p w:rsidR="00B534F4" w:rsidRPr="00B534F4" w:rsidRDefault="00B534F4" w:rsidP="0093067A">
      <w:pPr>
        <w:rPr>
          <w:color w:val="FF0000"/>
        </w:rPr>
      </w:pPr>
    </w:p>
    <w:sectPr w:rsidR="00B534F4" w:rsidRPr="00B534F4" w:rsidSect="00010BD5">
      <w:footerReference w:type="even" r:id="rId10"/>
      <w:headerReference w:type="first" r:id="rId11"/>
      <w:footerReference w:type="first" r:id="rId12"/>
      <w:pgSz w:w="11906" w:h="16838" w:code="9"/>
      <w:pgMar w:top="1276"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944" w:rsidRDefault="00F51944" w:rsidP="004A6D2F">
      <w:r>
        <w:separator/>
      </w:r>
    </w:p>
  </w:endnote>
  <w:endnote w:type="continuationSeparator" w:id="0">
    <w:p w:rsidR="00F51944" w:rsidRDefault="00F51944"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944" w:rsidRDefault="00F51944" w:rsidP="004A6D2F">
      <w:r>
        <w:separator/>
      </w:r>
    </w:p>
  </w:footnote>
  <w:footnote w:type="continuationSeparator" w:id="0">
    <w:p w:rsidR="00F51944" w:rsidRDefault="00F51944"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F51944" w:rsidP="00D5547E">
    <w:pPr>
      <w:pStyle w:val="Header"/>
      <w:jc w:val="right"/>
    </w:pPr>
    <w:r>
      <w:rPr>
        <w:noProof/>
      </w:rPr>
      <w:drawing>
        <wp:inline distT="0" distB="0" distL="0" distR="0" wp14:anchorId="6721D9E0" wp14:editId="18B0659B">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E3F3923"/>
    <w:multiLevelType w:val="hybridMultilevel"/>
    <w:tmpl w:val="6F1858D0"/>
    <w:lvl w:ilvl="0" w:tplc="08090017">
      <w:start w:val="1"/>
      <w:numFmt w:val="lowerLetter"/>
      <w:lvlText w:val="%1)"/>
      <w:lvlJc w:val="left"/>
      <w:pPr>
        <w:ind w:left="360" w:hanging="360"/>
      </w:pPr>
      <w:rPr>
        <w:rFonts w:hint="default"/>
      </w:rPr>
    </w:lvl>
    <w:lvl w:ilvl="1" w:tplc="0809000F">
      <w:start w:val="1"/>
      <w:numFmt w:val="decimal"/>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F270FC5"/>
    <w:multiLevelType w:val="hybridMultilevel"/>
    <w:tmpl w:val="53DEE0C6"/>
    <w:lvl w:ilvl="0" w:tplc="08090001">
      <w:start w:val="1"/>
      <w:numFmt w:val="bullet"/>
      <w:lvlText w:val=""/>
      <w:lvlJc w:val="left"/>
      <w:pPr>
        <w:ind w:left="720" w:hanging="360"/>
      </w:pPr>
      <w:rPr>
        <w:rFonts w:ascii="Symbol" w:hAnsi="Symbol" w:hint="default"/>
        <w:color w:val="auto"/>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A77091"/>
    <w:multiLevelType w:val="multilevel"/>
    <w:tmpl w:val="5D90BDBC"/>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
      <w:lvlJc w:val="left"/>
      <w:pPr>
        <w:tabs>
          <w:tab w:val="num" w:pos="1560"/>
        </w:tabs>
        <w:ind w:left="1560" w:hanging="360"/>
      </w:pPr>
      <w:rPr>
        <w:rFonts w:ascii="Symbol" w:hAnsi="Symbol" w:hint="default"/>
        <w:sz w:val="20"/>
      </w:rPr>
    </w:lvl>
    <w:lvl w:ilvl="2" w:tentative="1">
      <w:start w:val="1"/>
      <w:numFmt w:val="bullet"/>
      <w:lvlText w:val=""/>
      <w:lvlJc w:val="left"/>
      <w:pPr>
        <w:tabs>
          <w:tab w:val="num" w:pos="2280"/>
        </w:tabs>
        <w:ind w:left="2280" w:hanging="360"/>
      </w:pPr>
      <w:rPr>
        <w:rFonts w:ascii="Symbol" w:hAnsi="Symbol" w:hint="default"/>
        <w:sz w:val="20"/>
      </w:rPr>
    </w:lvl>
    <w:lvl w:ilvl="3" w:tentative="1">
      <w:start w:val="1"/>
      <w:numFmt w:val="bullet"/>
      <w:lvlText w:val=""/>
      <w:lvlJc w:val="left"/>
      <w:pPr>
        <w:tabs>
          <w:tab w:val="num" w:pos="3000"/>
        </w:tabs>
        <w:ind w:left="3000" w:hanging="360"/>
      </w:pPr>
      <w:rPr>
        <w:rFonts w:ascii="Symbol" w:hAnsi="Symbol" w:hint="default"/>
        <w:sz w:val="20"/>
      </w:rPr>
    </w:lvl>
    <w:lvl w:ilvl="4" w:tentative="1">
      <w:start w:val="1"/>
      <w:numFmt w:val="bullet"/>
      <w:lvlText w:val=""/>
      <w:lvlJc w:val="left"/>
      <w:pPr>
        <w:tabs>
          <w:tab w:val="num" w:pos="3720"/>
        </w:tabs>
        <w:ind w:left="3720" w:hanging="360"/>
      </w:pPr>
      <w:rPr>
        <w:rFonts w:ascii="Symbol" w:hAnsi="Symbol" w:hint="default"/>
        <w:sz w:val="20"/>
      </w:rPr>
    </w:lvl>
    <w:lvl w:ilvl="5" w:tentative="1">
      <w:start w:val="1"/>
      <w:numFmt w:val="bullet"/>
      <w:lvlText w:val=""/>
      <w:lvlJc w:val="left"/>
      <w:pPr>
        <w:tabs>
          <w:tab w:val="num" w:pos="4440"/>
        </w:tabs>
        <w:ind w:left="4440" w:hanging="360"/>
      </w:pPr>
      <w:rPr>
        <w:rFonts w:ascii="Symbol" w:hAnsi="Symbol" w:hint="default"/>
        <w:sz w:val="20"/>
      </w:rPr>
    </w:lvl>
    <w:lvl w:ilvl="6" w:tentative="1">
      <w:start w:val="1"/>
      <w:numFmt w:val="bullet"/>
      <w:lvlText w:val=""/>
      <w:lvlJc w:val="left"/>
      <w:pPr>
        <w:tabs>
          <w:tab w:val="num" w:pos="5160"/>
        </w:tabs>
        <w:ind w:left="5160" w:hanging="360"/>
      </w:pPr>
      <w:rPr>
        <w:rFonts w:ascii="Symbol" w:hAnsi="Symbol" w:hint="default"/>
        <w:sz w:val="20"/>
      </w:rPr>
    </w:lvl>
    <w:lvl w:ilvl="7" w:tentative="1">
      <w:start w:val="1"/>
      <w:numFmt w:val="bullet"/>
      <w:lvlText w:val=""/>
      <w:lvlJc w:val="left"/>
      <w:pPr>
        <w:tabs>
          <w:tab w:val="num" w:pos="5880"/>
        </w:tabs>
        <w:ind w:left="5880" w:hanging="360"/>
      </w:pPr>
      <w:rPr>
        <w:rFonts w:ascii="Symbol" w:hAnsi="Symbol" w:hint="default"/>
        <w:sz w:val="20"/>
      </w:rPr>
    </w:lvl>
    <w:lvl w:ilvl="8" w:tentative="1">
      <w:start w:val="1"/>
      <w:numFmt w:val="bullet"/>
      <w:lvlText w:val=""/>
      <w:lvlJc w:val="left"/>
      <w:pPr>
        <w:tabs>
          <w:tab w:val="num" w:pos="6600"/>
        </w:tabs>
        <w:ind w:left="6600" w:hanging="360"/>
      </w:pPr>
      <w:rPr>
        <w:rFonts w:ascii="Symbol" w:hAnsi="Symbol" w:hint="default"/>
        <w:sz w:val="20"/>
      </w:rPr>
    </w:lvl>
  </w:abstractNum>
  <w:abstractNum w:abstractNumId="5">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7DD0192"/>
    <w:multiLevelType w:val="multilevel"/>
    <w:tmpl w:val="E77CFE72"/>
    <w:lvl w:ilvl="0">
      <w:start w:val="5"/>
      <w:numFmt w:val="decimal"/>
      <w:lvlText w:val="%1"/>
      <w:lvlJc w:val="left"/>
      <w:pPr>
        <w:ind w:left="1094" w:hanging="711"/>
      </w:pPr>
      <w:rPr>
        <w:rFonts w:hint="default"/>
      </w:rPr>
    </w:lvl>
    <w:lvl w:ilvl="1">
      <w:start w:val="6"/>
      <w:numFmt w:val="decimal"/>
      <w:lvlText w:val="%1.%2"/>
      <w:lvlJc w:val="left"/>
      <w:pPr>
        <w:ind w:left="1094" w:hanging="711"/>
      </w:pPr>
      <w:rPr>
        <w:rFonts w:ascii="Arial" w:eastAsia="Arial" w:hAnsi="Arial" w:cs="Arial" w:hint="default"/>
        <w:spacing w:val="-3"/>
        <w:w w:val="99"/>
        <w:sz w:val="24"/>
        <w:szCs w:val="24"/>
      </w:rPr>
    </w:lvl>
    <w:lvl w:ilvl="2">
      <w:start w:val="1"/>
      <w:numFmt w:val="decimal"/>
      <w:lvlText w:val="%1.%2.%3"/>
      <w:lvlJc w:val="left"/>
      <w:pPr>
        <w:ind w:left="1094" w:hanging="567"/>
        <w:jc w:val="right"/>
      </w:pPr>
      <w:rPr>
        <w:rFonts w:ascii="Arial" w:eastAsia="Arial" w:hAnsi="Arial" w:cs="Arial" w:hint="default"/>
        <w:w w:val="100"/>
        <w:sz w:val="22"/>
        <w:szCs w:val="22"/>
      </w:rPr>
    </w:lvl>
    <w:lvl w:ilvl="3">
      <w:numFmt w:val="bullet"/>
      <w:lvlText w:val="•"/>
      <w:lvlJc w:val="left"/>
      <w:pPr>
        <w:ind w:left="3579" w:hanging="567"/>
      </w:pPr>
      <w:rPr>
        <w:rFonts w:hint="default"/>
      </w:rPr>
    </w:lvl>
    <w:lvl w:ilvl="4">
      <w:numFmt w:val="bullet"/>
      <w:lvlText w:val="•"/>
      <w:lvlJc w:val="left"/>
      <w:pPr>
        <w:ind w:left="4406" w:hanging="567"/>
      </w:pPr>
      <w:rPr>
        <w:rFonts w:hint="default"/>
      </w:rPr>
    </w:lvl>
    <w:lvl w:ilvl="5">
      <w:numFmt w:val="bullet"/>
      <w:lvlText w:val="•"/>
      <w:lvlJc w:val="left"/>
      <w:pPr>
        <w:ind w:left="5233" w:hanging="567"/>
      </w:pPr>
      <w:rPr>
        <w:rFonts w:hint="default"/>
      </w:rPr>
    </w:lvl>
    <w:lvl w:ilvl="6">
      <w:numFmt w:val="bullet"/>
      <w:lvlText w:val="•"/>
      <w:lvlJc w:val="left"/>
      <w:pPr>
        <w:ind w:left="6059" w:hanging="567"/>
      </w:pPr>
      <w:rPr>
        <w:rFonts w:hint="default"/>
      </w:rPr>
    </w:lvl>
    <w:lvl w:ilvl="7">
      <w:numFmt w:val="bullet"/>
      <w:lvlText w:val="•"/>
      <w:lvlJc w:val="left"/>
      <w:pPr>
        <w:ind w:left="6886" w:hanging="567"/>
      </w:pPr>
      <w:rPr>
        <w:rFonts w:hint="default"/>
      </w:rPr>
    </w:lvl>
    <w:lvl w:ilvl="8">
      <w:numFmt w:val="bullet"/>
      <w:lvlText w:val="•"/>
      <w:lvlJc w:val="left"/>
      <w:pPr>
        <w:ind w:left="7713" w:hanging="567"/>
      </w:pPr>
      <w:rPr>
        <w:rFonts w:hint="default"/>
      </w:rPr>
    </w:lvl>
  </w:abstractNum>
  <w:abstractNum w:abstractNumId="7">
    <w:nsid w:val="29F9697A"/>
    <w:multiLevelType w:val="hybridMultilevel"/>
    <w:tmpl w:val="7B1EBC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716784"/>
    <w:multiLevelType w:val="hybridMultilevel"/>
    <w:tmpl w:val="6FA2238A"/>
    <w:lvl w:ilvl="0" w:tplc="C8B8EBE0">
      <w:start w:val="1"/>
      <w:numFmt w:val="decimal"/>
      <w:lvlText w:val="%1."/>
      <w:lvlJc w:val="left"/>
      <w:pPr>
        <w:ind w:left="360" w:hanging="360"/>
      </w:pPr>
      <w:rPr>
        <w:rFonts w:hint="default"/>
        <w:color w:val="auto"/>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EEF3095"/>
    <w:multiLevelType w:val="hybridMultilevel"/>
    <w:tmpl w:val="EDD494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F97006F"/>
    <w:multiLevelType w:val="hybridMultilevel"/>
    <w:tmpl w:val="B2B2F13E"/>
    <w:lvl w:ilvl="0" w:tplc="3F8C3CB0">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F9B08B7"/>
    <w:multiLevelType w:val="multilevel"/>
    <w:tmpl w:val="233654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5A35B37"/>
    <w:multiLevelType w:val="hybridMultilevel"/>
    <w:tmpl w:val="3DA6750A"/>
    <w:lvl w:ilvl="0" w:tplc="C8B8EBE0">
      <w:start w:val="1"/>
      <w:numFmt w:val="decimal"/>
      <w:lvlText w:val="%1."/>
      <w:lvlJc w:val="left"/>
      <w:pPr>
        <w:ind w:left="360" w:hanging="360"/>
      </w:pPr>
      <w:rPr>
        <w:rFonts w:hint="default"/>
        <w:color w:val="auto"/>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89868C7"/>
    <w:multiLevelType w:val="hybridMultilevel"/>
    <w:tmpl w:val="9E9C3A58"/>
    <w:lvl w:ilvl="0" w:tplc="08090001">
      <w:start w:val="1"/>
      <w:numFmt w:val="bullet"/>
      <w:lvlText w:val=""/>
      <w:lvlJc w:val="left"/>
      <w:pPr>
        <w:ind w:left="786" w:hanging="360"/>
      </w:pPr>
      <w:rPr>
        <w:rFonts w:ascii="Symbol" w:hAnsi="Symbol" w:hint="default"/>
        <w:color w:val="auto"/>
      </w:rPr>
    </w:lvl>
    <w:lvl w:ilvl="1" w:tplc="0809000F">
      <w:start w:val="1"/>
      <w:numFmt w:val="decimal"/>
      <w:lvlText w:val="%2."/>
      <w:lvlJc w:val="left"/>
      <w:pPr>
        <w:ind w:left="1506" w:hanging="360"/>
      </w:pPr>
    </w:lvl>
    <w:lvl w:ilvl="2" w:tplc="0809001B">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nsid w:val="3909520C"/>
    <w:multiLevelType w:val="hybridMultilevel"/>
    <w:tmpl w:val="C8AAABD4"/>
    <w:lvl w:ilvl="0" w:tplc="C8B8EBE0">
      <w:start w:val="1"/>
      <w:numFmt w:val="decimal"/>
      <w:lvlText w:val="%1."/>
      <w:lvlJc w:val="left"/>
      <w:pPr>
        <w:ind w:left="360" w:hanging="360"/>
      </w:pPr>
      <w:rPr>
        <w:rFonts w:hint="default"/>
        <w:color w:val="auto"/>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CF84429"/>
    <w:multiLevelType w:val="hybridMultilevel"/>
    <w:tmpl w:val="0562017C"/>
    <w:lvl w:ilvl="0" w:tplc="556C6282">
      <w:start w:val="1"/>
      <w:numFmt w:val="lowerLetter"/>
      <w:lvlText w:val="%1)"/>
      <w:lvlJc w:val="left"/>
      <w:pPr>
        <w:ind w:left="360" w:hanging="36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BFE16E3"/>
    <w:multiLevelType w:val="hybridMultilevel"/>
    <w:tmpl w:val="7CB6B6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8E64155"/>
    <w:multiLevelType w:val="hybridMultilevel"/>
    <w:tmpl w:val="1FD6C0DC"/>
    <w:lvl w:ilvl="0" w:tplc="08090019">
      <w:start w:val="1"/>
      <w:numFmt w:val="lowerLetter"/>
      <w:lvlText w:val="%1."/>
      <w:lvlJc w:val="left"/>
      <w:pPr>
        <w:ind w:left="720" w:hanging="360"/>
      </w:pPr>
      <w:rPr>
        <w:rFonts w:hint="default"/>
        <w:color w:val="auto"/>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FD16223"/>
    <w:multiLevelType w:val="multilevel"/>
    <w:tmpl w:val="E67CE66C"/>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701A64C8"/>
    <w:multiLevelType w:val="hybridMultilevel"/>
    <w:tmpl w:val="3E64F556"/>
    <w:lvl w:ilvl="0" w:tplc="08090001">
      <w:start w:val="1"/>
      <w:numFmt w:val="bullet"/>
      <w:lvlText w:val=""/>
      <w:lvlJc w:val="left"/>
      <w:pPr>
        <w:ind w:left="720" w:hanging="360"/>
      </w:pPr>
      <w:rPr>
        <w:rFonts w:ascii="Symbol" w:hAnsi="Symbol" w:hint="default"/>
        <w:color w:val="auto"/>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1297E77"/>
    <w:multiLevelType w:val="hybridMultilevel"/>
    <w:tmpl w:val="CE9A7D42"/>
    <w:lvl w:ilvl="0" w:tplc="08090001">
      <w:start w:val="1"/>
      <w:numFmt w:val="bullet"/>
      <w:lvlText w:val=""/>
      <w:lvlJc w:val="left"/>
      <w:pPr>
        <w:ind w:left="1800" w:hanging="360"/>
      </w:pPr>
      <w:rPr>
        <w:rFonts w:ascii="Symbol" w:hAnsi="Symbol" w:hint="default"/>
        <w:color w:val="auto"/>
      </w:rPr>
    </w:lvl>
    <w:lvl w:ilvl="1" w:tplc="0809000F">
      <w:start w:val="1"/>
      <w:numFmt w:val="decimal"/>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nsid w:val="7271398B"/>
    <w:multiLevelType w:val="hybridMultilevel"/>
    <w:tmpl w:val="691CB2C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7CD66C53"/>
    <w:multiLevelType w:val="hybridMultilevel"/>
    <w:tmpl w:val="EC669E5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7DEC1AD5"/>
    <w:multiLevelType w:val="hybridMultilevel"/>
    <w:tmpl w:val="0BDA159E"/>
    <w:lvl w:ilvl="0" w:tplc="08090001">
      <w:start w:val="1"/>
      <w:numFmt w:val="bullet"/>
      <w:lvlText w:val=""/>
      <w:lvlJc w:val="left"/>
      <w:pPr>
        <w:ind w:left="720" w:hanging="360"/>
      </w:pPr>
      <w:rPr>
        <w:rFonts w:ascii="Symbol" w:hAnsi="Symbol" w:hint="default"/>
        <w:color w:val="auto"/>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0"/>
  </w:num>
  <w:num w:numId="3">
    <w:abstractNumId w:val="5"/>
  </w:num>
  <w:num w:numId="4">
    <w:abstractNumId w:val="1"/>
  </w:num>
  <w:num w:numId="5">
    <w:abstractNumId w:val="18"/>
  </w:num>
  <w:num w:numId="6">
    <w:abstractNumId w:val="8"/>
  </w:num>
  <w:num w:numId="7">
    <w:abstractNumId w:val="2"/>
  </w:num>
  <w:num w:numId="8">
    <w:abstractNumId w:val="15"/>
  </w:num>
  <w:num w:numId="9">
    <w:abstractNumId w:val="13"/>
  </w:num>
  <w:num w:numId="10">
    <w:abstractNumId w:val="12"/>
  </w:num>
  <w:num w:numId="11">
    <w:abstractNumId w:val="11"/>
  </w:num>
  <w:num w:numId="12">
    <w:abstractNumId w:val="4"/>
  </w:num>
  <w:num w:numId="13">
    <w:abstractNumId w:val="3"/>
  </w:num>
  <w:num w:numId="14">
    <w:abstractNumId w:val="16"/>
  </w:num>
  <w:num w:numId="15">
    <w:abstractNumId w:val="7"/>
  </w:num>
  <w:num w:numId="16">
    <w:abstractNumId w:val="24"/>
  </w:num>
  <w:num w:numId="17">
    <w:abstractNumId w:val="23"/>
  </w:num>
  <w:num w:numId="18">
    <w:abstractNumId w:val="10"/>
  </w:num>
  <w:num w:numId="19">
    <w:abstractNumId w:val="14"/>
  </w:num>
  <w:num w:numId="20">
    <w:abstractNumId w:val="6"/>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1"/>
  </w:num>
  <w:num w:numId="24">
    <w:abstractNumId w:val="9"/>
  </w:num>
  <w:num w:numId="25">
    <w:abstractNumId w:val="22"/>
  </w:num>
  <w:num w:numId="26">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944"/>
    <w:rsid w:val="00010BD5"/>
    <w:rsid w:val="000117D4"/>
    <w:rsid w:val="000314D7"/>
    <w:rsid w:val="000336C7"/>
    <w:rsid w:val="00045F8B"/>
    <w:rsid w:val="00046D2B"/>
    <w:rsid w:val="000522BC"/>
    <w:rsid w:val="00056263"/>
    <w:rsid w:val="00064D8A"/>
    <w:rsid w:val="00064F82"/>
    <w:rsid w:val="00066510"/>
    <w:rsid w:val="00077523"/>
    <w:rsid w:val="00081E7A"/>
    <w:rsid w:val="000C089F"/>
    <w:rsid w:val="000C1097"/>
    <w:rsid w:val="000C3928"/>
    <w:rsid w:val="000C5E8E"/>
    <w:rsid w:val="000D024A"/>
    <w:rsid w:val="000E53F5"/>
    <w:rsid w:val="000F4751"/>
    <w:rsid w:val="0010524C"/>
    <w:rsid w:val="00111FB1"/>
    <w:rsid w:val="00113418"/>
    <w:rsid w:val="00121CF0"/>
    <w:rsid w:val="001356F1"/>
    <w:rsid w:val="00136994"/>
    <w:rsid w:val="0014128E"/>
    <w:rsid w:val="00151888"/>
    <w:rsid w:val="001657A8"/>
    <w:rsid w:val="00170A2D"/>
    <w:rsid w:val="001808BC"/>
    <w:rsid w:val="00182B81"/>
    <w:rsid w:val="0018619D"/>
    <w:rsid w:val="001A011E"/>
    <w:rsid w:val="001A066A"/>
    <w:rsid w:val="001A0765"/>
    <w:rsid w:val="001A13E6"/>
    <w:rsid w:val="001A5731"/>
    <w:rsid w:val="001B42C3"/>
    <w:rsid w:val="001C303A"/>
    <w:rsid w:val="001C5D5E"/>
    <w:rsid w:val="001D678D"/>
    <w:rsid w:val="001E03F8"/>
    <w:rsid w:val="001E1678"/>
    <w:rsid w:val="001E3376"/>
    <w:rsid w:val="002069B3"/>
    <w:rsid w:val="002329CF"/>
    <w:rsid w:val="00232F5B"/>
    <w:rsid w:val="00247C29"/>
    <w:rsid w:val="00260467"/>
    <w:rsid w:val="00263EA3"/>
    <w:rsid w:val="00284F85"/>
    <w:rsid w:val="00290915"/>
    <w:rsid w:val="002A22E2"/>
    <w:rsid w:val="002C177C"/>
    <w:rsid w:val="002C64F7"/>
    <w:rsid w:val="002D1E8A"/>
    <w:rsid w:val="002E4BEA"/>
    <w:rsid w:val="002F41F2"/>
    <w:rsid w:val="002F7F16"/>
    <w:rsid w:val="00301BF3"/>
    <w:rsid w:val="0030208D"/>
    <w:rsid w:val="00312D11"/>
    <w:rsid w:val="00323418"/>
    <w:rsid w:val="00323A9E"/>
    <w:rsid w:val="003357BF"/>
    <w:rsid w:val="00355F8D"/>
    <w:rsid w:val="00364FAD"/>
    <w:rsid w:val="0036738F"/>
    <w:rsid w:val="0036759C"/>
    <w:rsid w:val="00367AE5"/>
    <w:rsid w:val="00367D71"/>
    <w:rsid w:val="00376BF2"/>
    <w:rsid w:val="0038150A"/>
    <w:rsid w:val="003B17F2"/>
    <w:rsid w:val="003B6E75"/>
    <w:rsid w:val="003B7DA1"/>
    <w:rsid w:val="003D0379"/>
    <w:rsid w:val="003D2574"/>
    <w:rsid w:val="003D4C59"/>
    <w:rsid w:val="003F4267"/>
    <w:rsid w:val="003F6B1C"/>
    <w:rsid w:val="00404032"/>
    <w:rsid w:val="0040736F"/>
    <w:rsid w:val="00412C1F"/>
    <w:rsid w:val="00421CB2"/>
    <w:rsid w:val="004268B9"/>
    <w:rsid w:val="00433B96"/>
    <w:rsid w:val="004440F1"/>
    <w:rsid w:val="004456DD"/>
    <w:rsid w:val="00446CDF"/>
    <w:rsid w:val="00447D5E"/>
    <w:rsid w:val="004521B7"/>
    <w:rsid w:val="004521FD"/>
    <w:rsid w:val="00462AB5"/>
    <w:rsid w:val="00465EAF"/>
    <w:rsid w:val="004738C5"/>
    <w:rsid w:val="00491046"/>
    <w:rsid w:val="00493EB9"/>
    <w:rsid w:val="004A2AC7"/>
    <w:rsid w:val="004A6D2F"/>
    <w:rsid w:val="004C2887"/>
    <w:rsid w:val="004D2626"/>
    <w:rsid w:val="004D6E26"/>
    <w:rsid w:val="004D6E89"/>
    <w:rsid w:val="004D77D3"/>
    <w:rsid w:val="004E2959"/>
    <w:rsid w:val="004E3A20"/>
    <w:rsid w:val="004E3B9B"/>
    <w:rsid w:val="004F20EF"/>
    <w:rsid w:val="0050321C"/>
    <w:rsid w:val="00514771"/>
    <w:rsid w:val="00532D0F"/>
    <w:rsid w:val="005408AA"/>
    <w:rsid w:val="0054712D"/>
    <w:rsid w:val="00547EF6"/>
    <w:rsid w:val="005570B5"/>
    <w:rsid w:val="00567E18"/>
    <w:rsid w:val="00575F5F"/>
    <w:rsid w:val="00581805"/>
    <w:rsid w:val="00585F76"/>
    <w:rsid w:val="00593F97"/>
    <w:rsid w:val="005A1081"/>
    <w:rsid w:val="005A34E4"/>
    <w:rsid w:val="005B1092"/>
    <w:rsid w:val="005B1401"/>
    <w:rsid w:val="005B17F2"/>
    <w:rsid w:val="005B4F91"/>
    <w:rsid w:val="005B7FB0"/>
    <w:rsid w:val="005C35A5"/>
    <w:rsid w:val="005C577C"/>
    <w:rsid w:val="005D0621"/>
    <w:rsid w:val="005D1E27"/>
    <w:rsid w:val="005D2A3E"/>
    <w:rsid w:val="005E022E"/>
    <w:rsid w:val="005E0B78"/>
    <w:rsid w:val="005E101C"/>
    <w:rsid w:val="005E5215"/>
    <w:rsid w:val="005F7F7E"/>
    <w:rsid w:val="00614693"/>
    <w:rsid w:val="00623C2F"/>
    <w:rsid w:val="00625392"/>
    <w:rsid w:val="00627829"/>
    <w:rsid w:val="00633578"/>
    <w:rsid w:val="00637068"/>
    <w:rsid w:val="00650811"/>
    <w:rsid w:val="00661D3E"/>
    <w:rsid w:val="00692627"/>
    <w:rsid w:val="006928D1"/>
    <w:rsid w:val="006969E7"/>
    <w:rsid w:val="006A3643"/>
    <w:rsid w:val="006B45C6"/>
    <w:rsid w:val="006C2806"/>
    <w:rsid w:val="006C2A29"/>
    <w:rsid w:val="006C64CF"/>
    <w:rsid w:val="006C7D3F"/>
    <w:rsid w:val="006C7E41"/>
    <w:rsid w:val="006D17B1"/>
    <w:rsid w:val="006D4752"/>
    <w:rsid w:val="006D708A"/>
    <w:rsid w:val="006E14C1"/>
    <w:rsid w:val="006E1EF9"/>
    <w:rsid w:val="006F0292"/>
    <w:rsid w:val="006F1D18"/>
    <w:rsid w:val="006F27FA"/>
    <w:rsid w:val="006F416B"/>
    <w:rsid w:val="006F519B"/>
    <w:rsid w:val="00713675"/>
    <w:rsid w:val="00715823"/>
    <w:rsid w:val="00737B93"/>
    <w:rsid w:val="00745BF0"/>
    <w:rsid w:val="00750C0D"/>
    <w:rsid w:val="007615FE"/>
    <w:rsid w:val="0076655C"/>
    <w:rsid w:val="007721E3"/>
    <w:rsid w:val="007742DC"/>
    <w:rsid w:val="00784261"/>
    <w:rsid w:val="00791437"/>
    <w:rsid w:val="007B0C2C"/>
    <w:rsid w:val="007B278E"/>
    <w:rsid w:val="007C5C23"/>
    <w:rsid w:val="007E2A26"/>
    <w:rsid w:val="007F2348"/>
    <w:rsid w:val="008009C3"/>
    <w:rsid w:val="00803F07"/>
    <w:rsid w:val="0080749A"/>
    <w:rsid w:val="00810D99"/>
    <w:rsid w:val="00821FB8"/>
    <w:rsid w:val="00822845"/>
    <w:rsid w:val="00822ACD"/>
    <w:rsid w:val="00824590"/>
    <w:rsid w:val="00844F5F"/>
    <w:rsid w:val="0084513E"/>
    <w:rsid w:val="00855C66"/>
    <w:rsid w:val="00871EE4"/>
    <w:rsid w:val="00874E39"/>
    <w:rsid w:val="008A1A43"/>
    <w:rsid w:val="008B293F"/>
    <w:rsid w:val="008B7371"/>
    <w:rsid w:val="008D3DDB"/>
    <w:rsid w:val="008D6BB2"/>
    <w:rsid w:val="008F573F"/>
    <w:rsid w:val="009034EC"/>
    <w:rsid w:val="009153D7"/>
    <w:rsid w:val="00917522"/>
    <w:rsid w:val="0093067A"/>
    <w:rsid w:val="00936295"/>
    <w:rsid w:val="00940AA0"/>
    <w:rsid w:val="00941C60"/>
    <w:rsid w:val="00966D42"/>
    <w:rsid w:val="00971689"/>
    <w:rsid w:val="00973E90"/>
    <w:rsid w:val="00975B07"/>
    <w:rsid w:val="00980B4A"/>
    <w:rsid w:val="00983DB1"/>
    <w:rsid w:val="009B15D1"/>
    <w:rsid w:val="009B3159"/>
    <w:rsid w:val="009D5E38"/>
    <w:rsid w:val="009E3D0A"/>
    <w:rsid w:val="009E51FC"/>
    <w:rsid w:val="009F1D28"/>
    <w:rsid w:val="009F7618"/>
    <w:rsid w:val="00A04D23"/>
    <w:rsid w:val="00A06766"/>
    <w:rsid w:val="00A13765"/>
    <w:rsid w:val="00A21B12"/>
    <w:rsid w:val="00A23F80"/>
    <w:rsid w:val="00A46E98"/>
    <w:rsid w:val="00A6352B"/>
    <w:rsid w:val="00A701B5"/>
    <w:rsid w:val="00A714BB"/>
    <w:rsid w:val="00A92D8F"/>
    <w:rsid w:val="00AB2988"/>
    <w:rsid w:val="00AB7999"/>
    <w:rsid w:val="00AD3292"/>
    <w:rsid w:val="00AE7AF0"/>
    <w:rsid w:val="00B147CB"/>
    <w:rsid w:val="00B500CA"/>
    <w:rsid w:val="00B534F4"/>
    <w:rsid w:val="00B67F63"/>
    <w:rsid w:val="00B86314"/>
    <w:rsid w:val="00B90E90"/>
    <w:rsid w:val="00BA1C2E"/>
    <w:rsid w:val="00BC200B"/>
    <w:rsid w:val="00BC4756"/>
    <w:rsid w:val="00BC69A4"/>
    <w:rsid w:val="00BE0680"/>
    <w:rsid w:val="00BE305F"/>
    <w:rsid w:val="00BE7BA3"/>
    <w:rsid w:val="00BF203F"/>
    <w:rsid w:val="00BF5682"/>
    <w:rsid w:val="00BF7B09"/>
    <w:rsid w:val="00C20A95"/>
    <w:rsid w:val="00C2692F"/>
    <w:rsid w:val="00C3207C"/>
    <w:rsid w:val="00C400E1"/>
    <w:rsid w:val="00C41187"/>
    <w:rsid w:val="00C55D85"/>
    <w:rsid w:val="00C63C31"/>
    <w:rsid w:val="00C7197F"/>
    <w:rsid w:val="00C757A0"/>
    <w:rsid w:val="00C760DE"/>
    <w:rsid w:val="00C82630"/>
    <w:rsid w:val="00C85B4E"/>
    <w:rsid w:val="00C907F7"/>
    <w:rsid w:val="00CA2103"/>
    <w:rsid w:val="00CA6763"/>
    <w:rsid w:val="00CB6B99"/>
    <w:rsid w:val="00CB7761"/>
    <w:rsid w:val="00CE4C87"/>
    <w:rsid w:val="00CE544A"/>
    <w:rsid w:val="00CF48E0"/>
    <w:rsid w:val="00CF5FC2"/>
    <w:rsid w:val="00D04108"/>
    <w:rsid w:val="00D11E1C"/>
    <w:rsid w:val="00D160B0"/>
    <w:rsid w:val="00D17F94"/>
    <w:rsid w:val="00D223FC"/>
    <w:rsid w:val="00D23E8F"/>
    <w:rsid w:val="00D26D1E"/>
    <w:rsid w:val="00D326E6"/>
    <w:rsid w:val="00D46B2A"/>
    <w:rsid w:val="00D474CF"/>
    <w:rsid w:val="00D47F72"/>
    <w:rsid w:val="00D5547E"/>
    <w:rsid w:val="00D869A1"/>
    <w:rsid w:val="00DA413F"/>
    <w:rsid w:val="00DA4584"/>
    <w:rsid w:val="00DA614B"/>
    <w:rsid w:val="00DC091B"/>
    <w:rsid w:val="00DC3060"/>
    <w:rsid w:val="00DD458E"/>
    <w:rsid w:val="00DE0FB2"/>
    <w:rsid w:val="00DE1E46"/>
    <w:rsid w:val="00DF093E"/>
    <w:rsid w:val="00E017EE"/>
    <w:rsid w:val="00E01F42"/>
    <w:rsid w:val="00E206D6"/>
    <w:rsid w:val="00E2751F"/>
    <w:rsid w:val="00E302F1"/>
    <w:rsid w:val="00E3366E"/>
    <w:rsid w:val="00E50857"/>
    <w:rsid w:val="00E52086"/>
    <w:rsid w:val="00E543A6"/>
    <w:rsid w:val="00E60479"/>
    <w:rsid w:val="00E61D73"/>
    <w:rsid w:val="00E73684"/>
    <w:rsid w:val="00E818D6"/>
    <w:rsid w:val="00E87F7A"/>
    <w:rsid w:val="00E96BD7"/>
    <w:rsid w:val="00EA0DB1"/>
    <w:rsid w:val="00EA0EE9"/>
    <w:rsid w:val="00ED065D"/>
    <w:rsid w:val="00ED52CA"/>
    <w:rsid w:val="00ED5860"/>
    <w:rsid w:val="00EE2824"/>
    <w:rsid w:val="00EE35C9"/>
    <w:rsid w:val="00F05ECA"/>
    <w:rsid w:val="00F22232"/>
    <w:rsid w:val="00F2676D"/>
    <w:rsid w:val="00F3566E"/>
    <w:rsid w:val="00F35B93"/>
    <w:rsid w:val="00F375FB"/>
    <w:rsid w:val="00F41AC1"/>
    <w:rsid w:val="00F4367A"/>
    <w:rsid w:val="00F445B1"/>
    <w:rsid w:val="00F45CD4"/>
    <w:rsid w:val="00F51944"/>
    <w:rsid w:val="00F66DCA"/>
    <w:rsid w:val="00F74F53"/>
    <w:rsid w:val="00F7606D"/>
    <w:rsid w:val="00F81670"/>
    <w:rsid w:val="00F82024"/>
    <w:rsid w:val="00F95BC9"/>
    <w:rsid w:val="00F97294"/>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Body Text" w:uiPriority="1"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1"/>
    <w:qFormat/>
    <w:rsid w:val="005570B5"/>
    <w:pPr>
      <w:numPr>
        <w:numId w:val="1"/>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2"/>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1"/>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BodyText">
    <w:name w:val="Body Text"/>
    <w:basedOn w:val="Normal"/>
    <w:link w:val="BodyTextChar"/>
    <w:uiPriority w:val="1"/>
    <w:qFormat/>
    <w:rsid w:val="004E3B9B"/>
    <w:pPr>
      <w:widowControl w:val="0"/>
      <w:autoSpaceDE w:val="0"/>
      <w:autoSpaceDN w:val="0"/>
      <w:spacing w:after="0"/>
    </w:pPr>
    <w:rPr>
      <w:rFonts w:eastAsia="Arial" w:cs="Arial"/>
      <w:color w:val="auto"/>
      <w:lang w:val="en-US" w:eastAsia="en-US"/>
    </w:rPr>
  </w:style>
  <w:style w:type="character" w:customStyle="1" w:styleId="BodyTextChar">
    <w:name w:val="Body Text Char"/>
    <w:basedOn w:val="DefaultParagraphFont"/>
    <w:link w:val="BodyText"/>
    <w:uiPriority w:val="1"/>
    <w:rsid w:val="004E3B9B"/>
    <w:rPr>
      <w:rFonts w:eastAsia="Arial" w:cs="Arial"/>
      <w:sz w:val="24"/>
      <w:szCs w:val="24"/>
      <w:lang w:val="en-US" w:eastAsia="en-US"/>
    </w:rPr>
  </w:style>
  <w:style w:type="paragraph" w:customStyle="1" w:styleId="TableParagraph">
    <w:name w:val="Table Paragraph"/>
    <w:basedOn w:val="Normal"/>
    <w:uiPriority w:val="1"/>
    <w:qFormat/>
    <w:rsid w:val="002D1E8A"/>
    <w:pPr>
      <w:widowControl w:val="0"/>
      <w:autoSpaceDE w:val="0"/>
      <w:autoSpaceDN w:val="0"/>
      <w:spacing w:after="0" w:line="251" w:lineRule="exact"/>
      <w:jc w:val="center"/>
    </w:pPr>
    <w:rPr>
      <w:rFonts w:eastAsia="Arial" w:cs="Arial"/>
      <w:color w:val="auto"/>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Body Text" w:uiPriority="1"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1"/>
    <w:qFormat/>
    <w:rsid w:val="005570B5"/>
    <w:pPr>
      <w:numPr>
        <w:numId w:val="1"/>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2"/>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1"/>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BodyText">
    <w:name w:val="Body Text"/>
    <w:basedOn w:val="Normal"/>
    <w:link w:val="BodyTextChar"/>
    <w:uiPriority w:val="1"/>
    <w:qFormat/>
    <w:rsid w:val="004E3B9B"/>
    <w:pPr>
      <w:widowControl w:val="0"/>
      <w:autoSpaceDE w:val="0"/>
      <w:autoSpaceDN w:val="0"/>
      <w:spacing w:after="0"/>
    </w:pPr>
    <w:rPr>
      <w:rFonts w:eastAsia="Arial" w:cs="Arial"/>
      <w:color w:val="auto"/>
      <w:lang w:val="en-US" w:eastAsia="en-US"/>
    </w:rPr>
  </w:style>
  <w:style w:type="character" w:customStyle="1" w:styleId="BodyTextChar">
    <w:name w:val="Body Text Char"/>
    <w:basedOn w:val="DefaultParagraphFont"/>
    <w:link w:val="BodyText"/>
    <w:uiPriority w:val="1"/>
    <w:rsid w:val="004E3B9B"/>
    <w:rPr>
      <w:rFonts w:eastAsia="Arial" w:cs="Arial"/>
      <w:sz w:val="24"/>
      <w:szCs w:val="24"/>
      <w:lang w:val="en-US" w:eastAsia="en-US"/>
    </w:rPr>
  </w:style>
  <w:style w:type="paragraph" w:customStyle="1" w:styleId="TableParagraph">
    <w:name w:val="Table Paragraph"/>
    <w:basedOn w:val="Normal"/>
    <w:uiPriority w:val="1"/>
    <w:qFormat/>
    <w:rsid w:val="002D1E8A"/>
    <w:pPr>
      <w:widowControl w:val="0"/>
      <w:autoSpaceDE w:val="0"/>
      <w:autoSpaceDN w:val="0"/>
      <w:spacing w:after="0" w:line="251" w:lineRule="exact"/>
      <w:jc w:val="center"/>
    </w:pPr>
    <w:rPr>
      <w:rFonts w:eastAsia="Arial" w:cs="Arial"/>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81228408">
      <w:bodyDiv w:val="1"/>
      <w:marLeft w:val="0"/>
      <w:marRight w:val="0"/>
      <w:marTop w:val="0"/>
      <w:marBottom w:val="0"/>
      <w:divBdr>
        <w:top w:val="none" w:sz="0" w:space="0" w:color="auto"/>
        <w:left w:val="none" w:sz="0" w:space="0" w:color="auto"/>
        <w:bottom w:val="none" w:sz="0" w:space="0" w:color="auto"/>
        <w:right w:val="none" w:sz="0" w:space="0" w:color="auto"/>
      </w:divBdr>
    </w:div>
    <w:div w:id="1013729563">
      <w:bodyDiv w:val="1"/>
      <w:marLeft w:val="0"/>
      <w:marRight w:val="0"/>
      <w:marTop w:val="0"/>
      <w:marBottom w:val="0"/>
      <w:divBdr>
        <w:top w:val="none" w:sz="0" w:space="0" w:color="auto"/>
        <w:left w:val="none" w:sz="0" w:space="0" w:color="auto"/>
        <w:bottom w:val="none" w:sz="0" w:space="0" w:color="auto"/>
        <w:right w:val="none" w:sz="0" w:space="0" w:color="auto"/>
      </w:divBdr>
    </w:div>
    <w:div w:id="1028947158">
      <w:bodyDiv w:val="1"/>
      <w:marLeft w:val="0"/>
      <w:marRight w:val="0"/>
      <w:marTop w:val="0"/>
      <w:marBottom w:val="0"/>
      <w:divBdr>
        <w:top w:val="none" w:sz="0" w:space="0" w:color="auto"/>
        <w:left w:val="none" w:sz="0" w:space="0" w:color="auto"/>
        <w:bottom w:val="none" w:sz="0" w:space="0" w:color="auto"/>
        <w:right w:val="none" w:sz="0" w:space="0" w:color="auto"/>
      </w:divBdr>
    </w:div>
    <w:div w:id="1170409447">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22350934">
      <w:bodyDiv w:val="1"/>
      <w:marLeft w:val="0"/>
      <w:marRight w:val="0"/>
      <w:marTop w:val="0"/>
      <w:marBottom w:val="0"/>
      <w:divBdr>
        <w:top w:val="none" w:sz="0" w:space="0" w:color="auto"/>
        <w:left w:val="none" w:sz="0" w:space="0" w:color="auto"/>
        <w:bottom w:val="none" w:sz="0" w:space="0" w:color="auto"/>
        <w:right w:val="none" w:sz="0" w:space="0" w:color="auto"/>
      </w:divBdr>
    </w:div>
    <w:div w:id="1838034765">
      <w:bodyDiv w:val="1"/>
      <w:marLeft w:val="0"/>
      <w:marRight w:val="0"/>
      <w:marTop w:val="0"/>
      <w:marBottom w:val="0"/>
      <w:divBdr>
        <w:top w:val="none" w:sz="0" w:space="0" w:color="auto"/>
        <w:left w:val="none" w:sz="0" w:space="0" w:color="auto"/>
        <w:bottom w:val="none" w:sz="0" w:space="0" w:color="auto"/>
        <w:right w:val="none" w:sz="0" w:space="0" w:color="auto"/>
      </w:divBdr>
    </w:div>
    <w:div w:id="200542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phythian@oxford.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CD585-32D1-4A87-8D17-28F5585F7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25E9A50C</Template>
  <TotalTime>1</TotalTime>
  <Pages>3</Pages>
  <Words>847</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jthompson</dc:creator>
  <cp:lastModifiedBy>cphythian</cp:lastModifiedBy>
  <cp:revision>3</cp:revision>
  <cp:lastPrinted>2015-07-03T12:50:00Z</cp:lastPrinted>
  <dcterms:created xsi:type="dcterms:W3CDTF">2018-08-31T12:29:00Z</dcterms:created>
  <dcterms:modified xsi:type="dcterms:W3CDTF">2018-08-31T12:34:00Z</dcterms:modified>
</cp:coreProperties>
</file>